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1949"/>
        <w:gridCol w:w="7061"/>
      </w:tblGrid>
      <w:tr w:rsidR="00DB59CE" w:rsidRPr="006D1ED9" w:rsidTr="007405A4">
        <w:tc>
          <w:tcPr>
            <w:tcW w:w="1951" w:type="dxa"/>
            <w:vAlign w:val="center"/>
          </w:tcPr>
          <w:p w:rsidR="00DB59CE" w:rsidRPr="0078133E" w:rsidRDefault="00DB59CE" w:rsidP="007405A4">
            <w:pPr>
              <w:spacing w:after="0"/>
              <w:jc w:val="left"/>
              <w:rPr>
                <w:lang w:val="fr-FR"/>
              </w:rPr>
            </w:pPr>
            <w:r>
              <w:rPr>
                <w:b/>
                <w:noProof/>
                <w:sz w:val="28"/>
                <w:lang w:val="fr-FR" w:eastAsia="fr-FR"/>
              </w:rPr>
              <w:drawing>
                <wp:inline distT="0" distB="0" distL="0" distR="0">
                  <wp:extent cx="1038225" cy="68580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38225" cy="685800"/>
                          </a:xfrm>
                          <a:prstGeom prst="rect">
                            <a:avLst/>
                          </a:prstGeom>
                          <a:noFill/>
                          <a:ln w="9525">
                            <a:noFill/>
                            <a:miter lim="800000"/>
                            <a:headEnd/>
                            <a:tailEnd/>
                          </a:ln>
                        </pic:spPr>
                      </pic:pic>
                    </a:graphicData>
                  </a:graphic>
                </wp:inline>
              </w:drawing>
            </w:r>
          </w:p>
        </w:tc>
        <w:tc>
          <w:tcPr>
            <w:tcW w:w="7229" w:type="dxa"/>
          </w:tcPr>
          <w:p w:rsidR="00DB59CE" w:rsidRPr="00EA10CC" w:rsidRDefault="006D1ED9" w:rsidP="007405A4">
            <w:pPr>
              <w:spacing w:after="0"/>
              <w:jc w:val="left"/>
            </w:pPr>
            <w:r w:rsidRPr="00EA10CC">
              <w:t>EUROPEAN COMMISSION</w:t>
            </w:r>
          </w:p>
          <w:p w:rsidR="00DB59CE" w:rsidRPr="006D1ED9" w:rsidRDefault="006D1ED9" w:rsidP="007405A4">
            <w:pPr>
              <w:spacing w:after="0"/>
              <w:jc w:val="left"/>
              <w:rPr>
                <w:noProof/>
              </w:rPr>
            </w:pPr>
            <w:r w:rsidRPr="006D1ED9">
              <w:rPr>
                <w:noProof/>
              </w:rPr>
              <w:t>Direct</w:t>
            </w:r>
            <w:r w:rsidR="00DB59CE" w:rsidRPr="006D1ED9">
              <w:rPr>
                <w:noProof/>
              </w:rPr>
              <w:t>o</w:t>
            </w:r>
            <w:r w:rsidRPr="006D1ED9">
              <w:rPr>
                <w:noProof/>
              </w:rPr>
              <w:t>rate</w:t>
            </w:r>
            <w:r w:rsidR="00DB59CE" w:rsidRPr="006D1ED9">
              <w:rPr>
                <w:noProof/>
              </w:rPr>
              <w:t xml:space="preserve"> G</w:t>
            </w:r>
            <w:r w:rsidRPr="006D1ED9">
              <w:rPr>
                <w:noProof/>
              </w:rPr>
              <w:t>ene</w:t>
            </w:r>
            <w:r w:rsidR="00DB59CE" w:rsidRPr="006D1ED9">
              <w:rPr>
                <w:noProof/>
              </w:rPr>
              <w:t>ral</w:t>
            </w:r>
            <w:r w:rsidRPr="006D1ED9">
              <w:rPr>
                <w:noProof/>
              </w:rPr>
              <w:t xml:space="preserve"> </w:t>
            </w:r>
            <w:r>
              <w:rPr>
                <w:noProof/>
              </w:rPr>
              <w:t xml:space="preserve">for </w:t>
            </w:r>
            <w:r w:rsidR="00DB59CE" w:rsidRPr="006D1ED9">
              <w:rPr>
                <w:noProof/>
              </w:rPr>
              <w:t>D</w:t>
            </w:r>
            <w:r w:rsidRPr="006D1ED9">
              <w:rPr>
                <w:noProof/>
              </w:rPr>
              <w:t>e</w:t>
            </w:r>
            <w:r w:rsidR="00DB59CE" w:rsidRPr="006D1ED9">
              <w:rPr>
                <w:noProof/>
              </w:rPr>
              <w:t xml:space="preserve">velopment </w:t>
            </w:r>
            <w:r w:rsidRPr="006D1ED9">
              <w:rPr>
                <w:noProof/>
              </w:rPr>
              <w:t>and Coope</w:t>
            </w:r>
            <w:r w:rsidR="00DB59CE" w:rsidRPr="006D1ED9">
              <w:rPr>
                <w:noProof/>
              </w:rPr>
              <w:t>ration – EuropeAid</w:t>
            </w:r>
          </w:p>
          <w:p w:rsidR="00DB59CE" w:rsidRPr="006D1ED9" w:rsidRDefault="00DB59CE" w:rsidP="007405A4">
            <w:pPr>
              <w:spacing w:after="0"/>
              <w:jc w:val="left"/>
              <w:rPr>
                <w:b/>
                <w:noProof/>
              </w:rPr>
            </w:pPr>
          </w:p>
        </w:tc>
      </w:tr>
    </w:tbl>
    <w:p w:rsidR="00CF4676" w:rsidRPr="006D1ED9" w:rsidRDefault="00CF4676" w:rsidP="006A61C1">
      <w:pPr>
        <w:jc w:val="center"/>
        <w:rPr>
          <w:b/>
          <w:sz w:val="28"/>
        </w:rPr>
      </w:pPr>
    </w:p>
    <w:p w:rsidR="00D26124" w:rsidRPr="00CF4676" w:rsidRDefault="00D26124" w:rsidP="006A61C1">
      <w:pPr>
        <w:jc w:val="center"/>
        <w:rPr>
          <w:b/>
          <w:sz w:val="32"/>
        </w:rPr>
      </w:pPr>
      <w:r w:rsidRPr="00CF4676">
        <w:rPr>
          <w:b/>
          <w:sz w:val="32"/>
        </w:rPr>
        <w:t xml:space="preserve">Advisory Service in Social Transfers </w:t>
      </w:r>
      <w:r w:rsidR="00211BA2" w:rsidRPr="00CF4676">
        <w:rPr>
          <w:b/>
          <w:sz w:val="32"/>
        </w:rPr>
        <w:t>(ASiST)</w:t>
      </w:r>
    </w:p>
    <w:p w:rsidR="00D26124" w:rsidRDefault="00D26124" w:rsidP="00824366">
      <w:pPr>
        <w:jc w:val="center"/>
        <w:rPr>
          <w:b/>
        </w:rPr>
      </w:pPr>
      <w:r w:rsidRPr="006A61C1">
        <w:rPr>
          <w:b/>
        </w:rPr>
        <w:t xml:space="preserve">Technical assistance to support partner countries in addressing food </w:t>
      </w:r>
      <w:r w:rsidR="00764177">
        <w:rPr>
          <w:b/>
        </w:rPr>
        <w:t xml:space="preserve">and nutrition </w:t>
      </w:r>
      <w:r w:rsidRPr="006A61C1">
        <w:rPr>
          <w:b/>
        </w:rPr>
        <w:t>security through social transfer programmes</w:t>
      </w:r>
    </w:p>
    <w:p w:rsidR="00B56EC1" w:rsidRDefault="00B56EC1" w:rsidP="00824366">
      <w:pPr>
        <w:jc w:val="center"/>
        <w:rPr>
          <w:b/>
        </w:rPr>
      </w:pPr>
    </w:p>
    <w:p w:rsidR="00785E01" w:rsidRPr="00AB0639" w:rsidRDefault="00AB0639" w:rsidP="009407E3">
      <w:pPr>
        <w:pBdr>
          <w:top w:val="single" w:sz="4" w:space="6" w:color="auto"/>
          <w:left w:val="single" w:sz="4" w:space="4" w:color="auto"/>
          <w:bottom w:val="single" w:sz="4" w:space="6" w:color="auto"/>
          <w:right w:val="single" w:sz="4" w:space="4" w:color="auto"/>
        </w:pBdr>
        <w:shd w:val="clear" w:color="auto" w:fill="D9D9D9" w:themeFill="background1" w:themeFillShade="D9"/>
        <w:spacing w:before="120" w:after="120"/>
      </w:pPr>
      <w:r w:rsidRPr="00AB0639">
        <w:t>The</w:t>
      </w:r>
      <w:r>
        <w:t xml:space="preserve"> Advisory Service in Social Transfers (ASiST) </w:t>
      </w:r>
      <w:r w:rsidR="009407E3">
        <w:t xml:space="preserve">of the European Commission offers technical support to </w:t>
      </w:r>
      <w:r>
        <w:t>government institutions in partner countries</w:t>
      </w:r>
      <w:r w:rsidR="009407E3">
        <w:t xml:space="preserve"> for them t</w:t>
      </w:r>
      <w:r w:rsidR="009407E3" w:rsidRPr="004E2EC5">
        <w:t xml:space="preserve">o </w:t>
      </w:r>
      <w:r w:rsidR="009407E3" w:rsidRPr="009407E3">
        <w:t xml:space="preserve">increase the impact, quality, coverage and sustainability of social transfer </w:t>
      </w:r>
      <w:r w:rsidR="00EA10CC">
        <w:t>schemes for</w:t>
      </w:r>
      <w:r w:rsidR="009407E3" w:rsidRPr="009407E3">
        <w:t xml:space="preserve"> strengthen</w:t>
      </w:r>
      <w:r w:rsidR="00EA10CC">
        <w:t>ed</w:t>
      </w:r>
      <w:r w:rsidR="009407E3" w:rsidRPr="009407E3">
        <w:t xml:space="preserve"> food and nutrition security</w:t>
      </w:r>
      <w:r w:rsidR="009407E3" w:rsidRPr="004E2EC5">
        <w:t>.</w:t>
      </w:r>
      <w:r w:rsidR="009407E3">
        <w:t xml:space="preserve"> ASiST is managed by DEVCO C1. </w:t>
      </w:r>
      <w:r w:rsidR="00785E01" w:rsidRPr="00AB0639">
        <w:t xml:space="preserve">To know more about the service </w:t>
      </w:r>
      <w:r>
        <w:t>and</w:t>
      </w:r>
      <w:r w:rsidR="00785E01" w:rsidRPr="00AB0639">
        <w:t xml:space="preserve"> to request support, please contact</w:t>
      </w:r>
      <w:r w:rsidR="009407E3">
        <w:t xml:space="preserve"> </w:t>
      </w:r>
      <w:hyperlink r:id="rId9" w:history="1">
        <w:r w:rsidR="00785E01" w:rsidRPr="00AB0639">
          <w:rPr>
            <w:rStyle w:val="Lienhypertexte"/>
          </w:rPr>
          <w:t>Herve.BUSSCHAERT@ec.europa.eu</w:t>
        </w:r>
      </w:hyperlink>
      <w:r w:rsidR="00785E01" w:rsidRPr="00AB0639">
        <w:t>.</w:t>
      </w:r>
    </w:p>
    <w:p w:rsidR="00785E01" w:rsidRDefault="00785E01" w:rsidP="00824366">
      <w:pPr>
        <w:jc w:val="center"/>
        <w:rPr>
          <w:b/>
        </w:rPr>
      </w:pPr>
    </w:p>
    <w:p w:rsidR="00A15879" w:rsidRPr="00F82442" w:rsidRDefault="00A15879" w:rsidP="00D323F8">
      <w:pPr>
        <w:pStyle w:val="Titre1"/>
        <w:rPr>
          <w:color w:val="0000FF"/>
          <w:sz w:val="20"/>
          <w:szCs w:val="20"/>
        </w:rPr>
      </w:pPr>
      <w:bookmarkStart w:id="0" w:name="_Toc142303138"/>
      <w:r w:rsidRPr="004D08E3">
        <w:t>B</w:t>
      </w:r>
      <w:r w:rsidR="00211BA2" w:rsidRPr="004D08E3">
        <w:t>ackground</w:t>
      </w:r>
      <w:bookmarkEnd w:id="0"/>
    </w:p>
    <w:p w:rsidR="00785E01" w:rsidRDefault="001B45DB" w:rsidP="00B56EC1">
      <w:pPr>
        <w:rPr>
          <w:rFonts w:cs="Calibri"/>
          <w:szCs w:val="22"/>
        </w:rPr>
      </w:pPr>
      <w:bookmarkStart w:id="1" w:name="_Toc142303139"/>
      <w:r>
        <w:t xml:space="preserve">In reaction to </w:t>
      </w:r>
      <w:r w:rsidR="009A1801">
        <w:t>global events</w:t>
      </w:r>
      <w:r w:rsidR="00D409ED">
        <w:t>, such</w:t>
      </w:r>
      <w:r>
        <w:t xml:space="preserve"> as</w:t>
      </w:r>
      <w:r w:rsidR="00D409ED">
        <w:t xml:space="preserve"> </w:t>
      </w:r>
      <w:r>
        <w:t>climate changes and the recent</w:t>
      </w:r>
      <w:r w:rsidR="00D409ED">
        <w:t xml:space="preserve"> fuel, food and financial crises, </w:t>
      </w:r>
      <w:r w:rsidR="009A1801">
        <w:t xml:space="preserve">food security has </w:t>
      </w:r>
      <w:r>
        <w:t xml:space="preserve">again </w:t>
      </w:r>
      <w:r w:rsidR="009A1801">
        <w:t>become the subject of prominent policy attention in development cooperation</w:t>
      </w:r>
      <w:r w:rsidR="00D409ED">
        <w:t>. This was</w:t>
      </w:r>
      <w:r w:rsidR="009A1801">
        <w:t xml:space="preserve"> reflected by the adoption of the EU policy framework to assist developing countries in addressing food security challenges in 2010</w:t>
      </w:r>
      <w:r>
        <w:t>.</w:t>
      </w:r>
      <w:bookmarkEnd w:id="1"/>
      <w:r w:rsidR="00785E01" w:rsidRPr="00E64FE4">
        <w:rPr>
          <w:rStyle w:val="Appeldenotedefin"/>
        </w:rPr>
        <w:endnoteReference w:id="1"/>
      </w:r>
      <w:r w:rsidR="00785E01" w:rsidRPr="009A1801">
        <w:t xml:space="preserve"> </w:t>
      </w:r>
      <w:r w:rsidR="00785E01">
        <w:t>The policy framework sets as a priority to “support countries to establish and operate targeted and flexible social transfer policies adapted to local contexts.” Indeed, social transfers</w:t>
      </w:r>
      <w:r w:rsidR="00785E01" w:rsidRPr="00E64FE4">
        <w:rPr>
          <w:rStyle w:val="Appeldenotedefin"/>
        </w:rPr>
        <w:endnoteReference w:id="2"/>
      </w:r>
      <w:r w:rsidR="00785E01">
        <w:t xml:space="preserve"> can play a critical role in promoting food security, primarily in supporting the access pillar but also in strengthening the production of nutritious food. In line with the 2010 EU policy framework on food security,</w:t>
      </w:r>
      <w:r w:rsidR="00785E01" w:rsidRPr="007F4087">
        <w:t xml:space="preserve"> EuropeAid</w:t>
      </w:r>
      <w:r w:rsidR="00785E01">
        <w:t xml:space="preserve"> </w:t>
      </w:r>
      <w:r w:rsidR="00785E01" w:rsidRPr="007F4087">
        <w:t>launched</w:t>
      </w:r>
      <w:r w:rsidR="00785E01">
        <w:t xml:space="preserve"> in May 2010 </w:t>
      </w:r>
      <w:r w:rsidR="00785E01" w:rsidRPr="007F4087">
        <w:t xml:space="preserve">a study to prepare a </w:t>
      </w:r>
      <w:r w:rsidR="00785E01">
        <w:rPr>
          <w:b/>
        </w:rPr>
        <w:t>R</w:t>
      </w:r>
      <w:r w:rsidR="00785E01" w:rsidRPr="00E64FE4">
        <w:rPr>
          <w:b/>
        </w:rPr>
        <w:t xml:space="preserve">eference </w:t>
      </w:r>
      <w:r w:rsidR="00785E01">
        <w:rPr>
          <w:b/>
        </w:rPr>
        <w:t>D</w:t>
      </w:r>
      <w:r w:rsidR="00785E01" w:rsidRPr="00E64FE4">
        <w:rPr>
          <w:b/>
        </w:rPr>
        <w:t>ocument on “social transfers in the fight against hunger”</w:t>
      </w:r>
      <w:r w:rsidR="00785E01" w:rsidRPr="007F4087">
        <w:t xml:space="preserve"> to be used by development practitioners and facilitate the implementation of programmes using the social transfer </w:t>
      </w:r>
      <w:r w:rsidR="00785E01">
        <w:t>instrument. This R</w:t>
      </w:r>
      <w:r w:rsidR="00785E01" w:rsidRPr="009A1801">
        <w:t xml:space="preserve">eference </w:t>
      </w:r>
      <w:r w:rsidR="00785E01">
        <w:t xml:space="preserve">Document </w:t>
      </w:r>
      <w:r w:rsidR="00785E01">
        <w:rPr>
          <w:rFonts w:cs="Calibri"/>
          <w:color w:val="000000"/>
          <w:szCs w:val="22"/>
        </w:rPr>
        <w:t xml:space="preserve">and related documents can be </w:t>
      </w:r>
      <w:r w:rsidR="00785E01" w:rsidRPr="00307133">
        <w:rPr>
          <w:rFonts w:cs="Calibri"/>
          <w:szCs w:val="22"/>
        </w:rPr>
        <w:t xml:space="preserve">downloaded from </w:t>
      </w:r>
      <w:hyperlink r:id="rId10" w:history="1">
        <w:r w:rsidR="00785E01" w:rsidRPr="00307133">
          <w:rPr>
            <w:rStyle w:val="Lienhypertexte"/>
            <w:rFonts w:cs="Calibri"/>
            <w:szCs w:val="22"/>
          </w:rPr>
          <w:t>http://capacity4dev.ec.europa.eu/topic/fighting-hunger-food-security-nutrition</w:t>
        </w:r>
      </w:hyperlink>
      <w:r w:rsidR="00785E01" w:rsidRPr="00307133">
        <w:rPr>
          <w:rFonts w:cs="Calibri"/>
          <w:szCs w:val="22"/>
        </w:rPr>
        <w:t>.</w:t>
      </w:r>
    </w:p>
    <w:p w:rsidR="00785E01" w:rsidRDefault="00785E01" w:rsidP="009407E3">
      <w:pPr>
        <w:ind w:firstLine="426"/>
      </w:pPr>
      <w:r>
        <w:t xml:space="preserve">Following up on these efforts, the EC Directorate General for Development and Cooperation – </w:t>
      </w:r>
      <w:r w:rsidRPr="00D323F8">
        <w:t>EuropeAid</w:t>
      </w:r>
      <w:r>
        <w:t xml:space="preserve"> (DEVCO) launched in January 2012 an </w:t>
      </w:r>
      <w:r w:rsidRPr="00E64FE4">
        <w:rPr>
          <w:b/>
        </w:rPr>
        <w:t>Advisory Service in Social Transfers</w:t>
      </w:r>
      <w:r>
        <w:t xml:space="preserve"> (ASiST) to support partner countries and EC staff (in headquarters and delegations) in the use of social transfers as a response to food and nutrition insecurity. ASiST is operated under a framework contract by HTSPE Ltd. It will operate under current funding arrangements during the </w:t>
      </w:r>
      <w:r w:rsidRPr="004D08E3">
        <w:rPr>
          <w:b/>
        </w:rPr>
        <w:t>2012 and 2013 calendar years</w:t>
      </w:r>
      <w:r>
        <w:t xml:space="preserve">. The ASiST experts will predominantly operate remotely from their respective home base, but will be available for missions to Brussels and to the field as required, and as authorised by </w:t>
      </w:r>
      <w:r w:rsidRPr="006D0FC5">
        <w:rPr>
          <w:b/>
        </w:rPr>
        <w:t>DEVCO</w:t>
      </w:r>
      <w:r w:rsidRPr="004D08E3">
        <w:rPr>
          <w:b/>
        </w:rPr>
        <w:t xml:space="preserve"> C1</w:t>
      </w:r>
      <w:r w:rsidRPr="006D0FC5">
        <w:t>,</w:t>
      </w:r>
      <w:r>
        <w:t xml:space="preserve"> the unit in charge of r</w:t>
      </w:r>
      <w:r w:rsidRPr="006526E2">
        <w:t xml:space="preserve">ural </w:t>
      </w:r>
      <w:r>
        <w:t>d</w:t>
      </w:r>
      <w:r w:rsidRPr="006526E2">
        <w:t>evelopment,</w:t>
      </w:r>
      <w:r>
        <w:t xml:space="preserve"> f</w:t>
      </w:r>
      <w:r w:rsidRPr="006526E2">
        <w:t xml:space="preserve">ood </w:t>
      </w:r>
      <w:r>
        <w:t>s</w:t>
      </w:r>
      <w:r w:rsidRPr="006526E2">
        <w:t xml:space="preserve">ecurity, </w:t>
      </w:r>
      <w:r>
        <w:t>and n</w:t>
      </w:r>
      <w:r w:rsidRPr="006526E2">
        <w:t>utrition</w:t>
      </w:r>
      <w:r w:rsidRPr="00D323F8">
        <w:t>.</w:t>
      </w:r>
    </w:p>
    <w:p w:rsidR="00785E01" w:rsidRPr="004E2EC5" w:rsidRDefault="00785E01" w:rsidP="00B56EC1">
      <w:pPr>
        <w:pStyle w:val="Titre1"/>
        <w:ind w:left="567" w:hanging="567"/>
      </w:pPr>
      <w:r w:rsidRPr="004E2EC5">
        <w:lastRenderedPageBreak/>
        <w:t>Overall objective</w:t>
      </w:r>
    </w:p>
    <w:p w:rsidR="00785E01" w:rsidRDefault="00785E01" w:rsidP="004D08E3">
      <w:r w:rsidRPr="004E2EC5">
        <w:t xml:space="preserve">The overall objective of </w:t>
      </w:r>
      <w:r>
        <w:t xml:space="preserve">ASiST </w:t>
      </w:r>
      <w:r w:rsidRPr="004E2EC5">
        <w:t xml:space="preserve">is to provide specific technical support in order to </w:t>
      </w:r>
      <w:r w:rsidRPr="004D08E3">
        <w:rPr>
          <w:b/>
        </w:rPr>
        <w:t xml:space="preserve">increase the impact, quality, </w:t>
      </w:r>
      <w:r>
        <w:rPr>
          <w:b/>
        </w:rPr>
        <w:t xml:space="preserve">coverage and </w:t>
      </w:r>
      <w:r w:rsidRPr="004D08E3">
        <w:rPr>
          <w:b/>
        </w:rPr>
        <w:t xml:space="preserve">sustainability of social transfer schemes </w:t>
      </w:r>
      <w:r>
        <w:rPr>
          <w:b/>
        </w:rPr>
        <w:t xml:space="preserve">in order </w:t>
      </w:r>
      <w:r w:rsidRPr="004D08E3">
        <w:rPr>
          <w:b/>
        </w:rPr>
        <w:t xml:space="preserve">to </w:t>
      </w:r>
      <w:r>
        <w:rPr>
          <w:b/>
        </w:rPr>
        <w:t>strengthen</w:t>
      </w:r>
      <w:r w:rsidRPr="004D08E3">
        <w:rPr>
          <w:b/>
        </w:rPr>
        <w:t xml:space="preserve"> food </w:t>
      </w:r>
      <w:r>
        <w:rPr>
          <w:b/>
        </w:rPr>
        <w:t>and nutrition s</w:t>
      </w:r>
      <w:r w:rsidRPr="004D08E3">
        <w:rPr>
          <w:b/>
        </w:rPr>
        <w:t>ecurity in partner countries</w:t>
      </w:r>
      <w:r w:rsidRPr="004E2EC5">
        <w:t>.</w:t>
      </w:r>
    </w:p>
    <w:p w:rsidR="00785E01" w:rsidRPr="004E2EC5" w:rsidRDefault="00785E01" w:rsidP="00B56EC1">
      <w:pPr>
        <w:pStyle w:val="Titre1"/>
        <w:ind w:left="567" w:hanging="567"/>
      </w:pPr>
      <w:r>
        <w:t xml:space="preserve">Specific </w:t>
      </w:r>
      <w:r w:rsidRPr="004E2EC5">
        <w:t>objective</w:t>
      </w:r>
      <w:r>
        <w:t>s</w:t>
      </w:r>
    </w:p>
    <w:p w:rsidR="00785E01" w:rsidRDefault="00785E01" w:rsidP="000813D2">
      <w:r>
        <w:t>More specifically, ASiST technical support is expected to:</w:t>
      </w:r>
    </w:p>
    <w:p w:rsidR="00785E01" w:rsidRPr="00EB15C0" w:rsidRDefault="00785E01" w:rsidP="0042671C">
      <w:pPr>
        <w:numPr>
          <w:ilvl w:val="0"/>
          <w:numId w:val="40"/>
        </w:numPr>
        <w:ind w:left="567" w:hanging="425"/>
      </w:pPr>
      <w:r>
        <w:rPr>
          <w:b/>
        </w:rPr>
        <w:t xml:space="preserve">raise awareness </w:t>
      </w:r>
      <w:r w:rsidRPr="00EB15C0">
        <w:t>among public authorities and civil society</w:t>
      </w:r>
      <w:r w:rsidRPr="004D08E3">
        <w:t xml:space="preserve"> </w:t>
      </w:r>
      <w:r w:rsidRPr="007F4087">
        <w:t xml:space="preserve">in the most vulnerable partner countries and in the donor community, of the factors that contribute to increased impact, quality, coverage </w:t>
      </w:r>
      <w:r>
        <w:t xml:space="preserve">and </w:t>
      </w:r>
      <w:r w:rsidRPr="007F4087">
        <w:t>sustainability of social transfers</w:t>
      </w:r>
      <w:r>
        <w:t>;</w:t>
      </w:r>
    </w:p>
    <w:p w:rsidR="00785E01" w:rsidRPr="00EB15C0" w:rsidRDefault="00785E01" w:rsidP="0042671C">
      <w:pPr>
        <w:numPr>
          <w:ilvl w:val="0"/>
          <w:numId w:val="40"/>
        </w:numPr>
        <w:ind w:left="567" w:hanging="425"/>
      </w:pPr>
      <w:r>
        <w:rPr>
          <w:b/>
        </w:rPr>
        <w:t>p</w:t>
      </w:r>
      <w:r w:rsidRPr="00EB15C0">
        <w:rPr>
          <w:b/>
        </w:rPr>
        <w:t>romote quality</w:t>
      </w:r>
      <w:r w:rsidRPr="00EB15C0">
        <w:t xml:space="preserve"> throughout the project cycle by providing practical examples and circulating lessons learnt in terms of design, </w:t>
      </w:r>
      <w:r>
        <w:t xml:space="preserve">implementation, monitoring and evaluation to </w:t>
      </w:r>
      <w:r w:rsidRPr="00EB15C0">
        <w:t>strengthen and promot</w:t>
      </w:r>
      <w:r>
        <w:t>e</w:t>
      </w:r>
      <w:r w:rsidRPr="00EB15C0">
        <w:t xml:space="preserve"> sustainable national social transfer schemes for food </w:t>
      </w:r>
      <w:r>
        <w:t xml:space="preserve">and nutrition </w:t>
      </w:r>
      <w:r w:rsidRPr="00EB15C0">
        <w:t>security;</w:t>
      </w:r>
    </w:p>
    <w:p w:rsidR="00785E01" w:rsidRPr="00D323F8" w:rsidRDefault="00785E01" w:rsidP="0042671C">
      <w:pPr>
        <w:numPr>
          <w:ilvl w:val="0"/>
          <w:numId w:val="40"/>
        </w:numPr>
        <w:ind w:left="567" w:hanging="425"/>
      </w:pPr>
      <w:r>
        <w:rPr>
          <w:b/>
        </w:rPr>
        <w:t xml:space="preserve">share lessons learnt </w:t>
      </w:r>
      <w:r w:rsidRPr="00D323F8">
        <w:t xml:space="preserve">among development partners at the international level, </w:t>
      </w:r>
      <w:r>
        <w:t xml:space="preserve">supporting the EC in actively participating in global discussions on social </w:t>
      </w:r>
      <w:r w:rsidRPr="007F4087">
        <w:t>transfers and comprehe</w:t>
      </w:r>
      <w:r>
        <w:t>nsive systems for food and nutrition security.</w:t>
      </w:r>
    </w:p>
    <w:p w:rsidR="00785E01" w:rsidRDefault="00785E01" w:rsidP="00B56EC1">
      <w:pPr>
        <w:pStyle w:val="Titre1"/>
        <w:ind w:left="567" w:hanging="567"/>
      </w:pPr>
      <w:r>
        <w:t>Expected outputs</w:t>
      </w:r>
    </w:p>
    <w:p w:rsidR="00785E01" w:rsidRDefault="00785E01" w:rsidP="00906396">
      <w:r>
        <w:t>Over the 24-month contract, ASiST is expected to deliver six main outputs:</w:t>
      </w:r>
    </w:p>
    <w:p w:rsidR="00785E01" w:rsidRDefault="00785E01" w:rsidP="00906A6D">
      <w:pPr>
        <w:numPr>
          <w:ilvl w:val="0"/>
          <w:numId w:val="31"/>
        </w:numPr>
        <w:ind w:left="567" w:hanging="425"/>
      </w:pPr>
      <w:r>
        <w:t xml:space="preserve">Three </w:t>
      </w:r>
      <w:r w:rsidRPr="00A32251">
        <w:rPr>
          <w:b/>
        </w:rPr>
        <w:t>regional seminars</w:t>
      </w:r>
      <w:r>
        <w:t xml:space="preserve"> (in the Sahel, East and Southern Africa and Central Asia) on the use of social transfers in the fight against hunger and malnutrition.</w:t>
      </w:r>
    </w:p>
    <w:p w:rsidR="00785E01" w:rsidRDefault="00785E01" w:rsidP="00906A6D">
      <w:pPr>
        <w:numPr>
          <w:ilvl w:val="0"/>
          <w:numId w:val="31"/>
        </w:numPr>
        <w:ind w:left="567" w:hanging="425"/>
      </w:pPr>
      <w:r>
        <w:rPr>
          <w:i/>
        </w:rPr>
        <w:t xml:space="preserve">Ad </w:t>
      </w:r>
      <w:r w:rsidRPr="00A32251">
        <w:rPr>
          <w:i/>
        </w:rPr>
        <w:t>hoc</w:t>
      </w:r>
      <w:r w:rsidRPr="00A32251">
        <w:rPr>
          <w:b/>
        </w:rPr>
        <w:t xml:space="preserve"> technical </w:t>
      </w:r>
      <w:r>
        <w:rPr>
          <w:b/>
        </w:rPr>
        <w:t>expertise and advice</w:t>
      </w:r>
      <w:r>
        <w:t xml:space="preserve"> to EC partner countries (either through distance support or in-country short mission) that wish to develop and/or improve social transfer schemes aimed at increasing food and nutrition security.</w:t>
      </w:r>
    </w:p>
    <w:p w:rsidR="00785E01" w:rsidRDefault="00785E01" w:rsidP="00906A6D">
      <w:pPr>
        <w:numPr>
          <w:ilvl w:val="0"/>
          <w:numId w:val="31"/>
        </w:numPr>
        <w:ind w:left="567" w:hanging="425"/>
      </w:pPr>
      <w:r>
        <w:t xml:space="preserve">One </w:t>
      </w:r>
      <w:r w:rsidRPr="00A32251">
        <w:rPr>
          <w:b/>
        </w:rPr>
        <w:t>thematic paper</w:t>
      </w:r>
      <w:r>
        <w:t xml:space="preserve"> on social transfers for nutrition.</w:t>
      </w:r>
    </w:p>
    <w:p w:rsidR="00785E01" w:rsidRDefault="00785E01" w:rsidP="00906A6D">
      <w:pPr>
        <w:numPr>
          <w:ilvl w:val="0"/>
          <w:numId w:val="31"/>
        </w:numPr>
        <w:ind w:left="567" w:hanging="425"/>
      </w:pPr>
      <w:r>
        <w:rPr>
          <w:i/>
        </w:rPr>
        <w:t xml:space="preserve">Ad </w:t>
      </w:r>
      <w:r w:rsidRPr="00B94707">
        <w:rPr>
          <w:i/>
        </w:rPr>
        <w:t>hoc</w:t>
      </w:r>
      <w:r>
        <w:t xml:space="preserve"> </w:t>
      </w:r>
      <w:r w:rsidRPr="00A32251">
        <w:rPr>
          <w:b/>
        </w:rPr>
        <w:t>technical support for policy development</w:t>
      </w:r>
      <w:r>
        <w:t xml:space="preserve"> to EC headquarters</w:t>
      </w:r>
      <w:r w:rsidRPr="004E248C">
        <w:t xml:space="preserve"> </w:t>
      </w:r>
      <w:r>
        <w:t>to contribute to increased harmonisation and alignment of Member States and other actors involved in social transfers for food and nutrition security.</w:t>
      </w:r>
    </w:p>
    <w:p w:rsidR="00785E01" w:rsidRDefault="00785E01" w:rsidP="00B44852">
      <w:pPr>
        <w:pStyle w:val="Titre2"/>
      </w:pPr>
      <w:bookmarkStart w:id="2" w:name="_Ref316306574"/>
      <w:bookmarkStart w:id="3" w:name="_Ref316219701"/>
      <w:r>
        <w:t>Regional seminars</w:t>
      </w:r>
      <w:bookmarkEnd w:id="2"/>
    </w:p>
    <w:p w:rsidR="00785E01" w:rsidRDefault="00785E01" w:rsidP="001D11C1">
      <w:r>
        <w:t>Thre</w:t>
      </w:r>
      <w:r w:rsidRPr="006E24F0">
        <w:t xml:space="preserve">e regional seminars </w:t>
      </w:r>
      <w:r>
        <w:t>will be held in Burkina Faso for the Sahel (held in April 2012), Mozambique for East and Southern Africa (</w:t>
      </w:r>
      <w:r w:rsidR="003D541E">
        <w:t>held in June</w:t>
      </w:r>
      <w:r>
        <w:t xml:space="preserve"> 2012) and Kyrgyzstan for Central Asia (tentatively scheduled early 2013). These seminars aim at: raising awareness on the potential of social transfers in the fight against hunger and malnutrition; sharing lessons learnt on the design, implementation and evaluation of social transfer schemes; collecting feedback on the content, format and usefulness of the Reference Document; and generating demand for ASiST technical expertise and advise, either through distance or in-country </w:t>
      </w:r>
      <w:r>
        <w:lastRenderedPageBreak/>
        <w:t xml:space="preserve">support. These seminars will gather, over three to four days, officials from </w:t>
      </w:r>
      <w:r w:rsidRPr="007F4087">
        <w:t xml:space="preserve">partner countries that have benefited (or may benefit in the future) from EU-funded social transfer </w:t>
      </w:r>
      <w:r>
        <w:t xml:space="preserve">schemes </w:t>
      </w:r>
      <w:r w:rsidRPr="007F4087">
        <w:t xml:space="preserve">in the framework of food </w:t>
      </w:r>
      <w:r>
        <w:t xml:space="preserve">and nutrition </w:t>
      </w:r>
      <w:r w:rsidRPr="007F4087">
        <w:t>security, along with EU</w:t>
      </w:r>
      <w:r>
        <w:t xml:space="preserve"> member states’ representatives, other members of the </w:t>
      </w:r>
      <w:r w:rsidRPr="007F4087">
        <w:t>donor community and civil society</w:t>
      </w:r>
      <w:r>
        <w:t xml:space="preserve"> members</w:t>
      </w:r>
      <w:r w:rsidRPr="007F4087">
        <w:t>.</w:t>
      </w:r>
    </w:p>
    <w:p w:rsidR="00785E01" w:rsidRDefault="00785E01" w:rsidP="00B44852">
      <w:pPr>
        <w:pStyle w:val="Titre2"/>
      </w:pPr>
      <w:bookmarkStart w:id="4" w:name="_Ref316306593"/>
      <w:r>
        <w:t>T</w:t>
      </w:r>
      <w:r w:rsidRPr="007232A5">
        <w:t>echnical expertise and advice</w:t>
      </w:r>
      <w:bookmarkEnd w:id="3"/>
      <w:r>
        <w:t xml:space="preserve"> to partner countries</w:t>
      </w:r>
      <w:bookmarkEnd w:id="4"/>
    </w:p>
    <w:p w:rsidR="008A5EAA" w:rsidRDefault="00785E01" w:rsidP="00785E01">
      <w:r>
        <w:t xml:space="preserve">ASiST will respond to requests from partner countries, and from EC headquarters and delegation staff, for support in social transfer schemes throughout the programme cycle. This support will be reactive and </w:t>
      </w:r>
      <w:r w:rsidRPr="004463DF">
        <w:rPr>
          <w:i/>
        </w:rPr>
        <w:t>ad hoc</w:t>
      </w:r>
      <w:r>
        <w:t>, in response to demand expressed through DEVCO C1. The resources currently available to ASiST are relatively limited. So the majority of its support will be pragmatic and on a small scale, essentially sowing the seeds for more substantive follow-up work outside of ASiST. For example, especially during the preparation of Country Strategy Plans for the next EDF cycle, ASiST could help to develop Terms of Reference (ToR) for short studies or for the development of identification and action fiches. ASiST will also</w:t>
      </w:r>
      <w:r w:rsidRPr="007F4087">
        <w:t xml:space="preserve"> provide technical backstop</w:t>
      </w:r>
      <w:r>
        <w:t xml:space="preserve">ping and written replies to </w:t>
      </w:r>
      <w:r w:rsidRPr="004463DF">
        <w:rPr>
          <w:i/>
        </w:rPr>
        <w:t>ad hoc</w:t>
      </w:r>
      <w:r w:rsidRPr="007F4087">
        <w:t xml:space="preserve"> requests from the </w:t>
      </w:r>
      <w:r>
        <w:t>EU Delegations or partner countries, through DEVCO C1. ASiST does have the resources to undertake three substantive field missions, the focus and location of which will be agreed with DEVCO C1 in response to demand. These field missions will be carried out on the basis of specific ToR that will be provided by the beneficiary of the action, be it a Ministry or any other government institution.</w:t>
      </w:r>
      <w:bookmarkStart w:id="5" w:name="_Ref316308208"/>
    </w:p>
    <w:p w:rsidR="00785E01" w:rsidRDefault="00785E01" w:rsidP="00307133">
      <w:pPr>
        <w:pStyle w:val="Titre2"/>
        <w:ind w:left="567"/>
      </w:pPr>
      <w:r>
        <w:t>Thematic paper</w:t>
      </w:r>
      <w:bookmarkEnd w:id="5"/>
    </w:p>
    <w:p w:rsidR="001D11C1" w:rsidRPr="007F4087" w:rsidRDefault="00785E01" w:rsidP="00785E01">
      <w:r>
        <w:t>ASiST will work in close collaboration with the EC Nutrition Advisory Service (NAS)</w:t>
      </w:r>
      <w:r w:rsidRPr="00785E01">
        <w:endnoteReference w:id="3"/>
      </w:r>
      <w:r>
        <w:t xml:space="preserve"> </w:t>
      </w:r>
      <w:bookmarkStart w:id="6" w:name="_Toc117329892"/>
      <w:r w:rsidR="001D11C1">
        <w:t xml:space="preserve">to </w:t>
      </w:r>
      <w:r w:rsidR="001D51CA">
        <w:t>conduct a study</w:t>
      </w:r>
      <w:r w:rsidR="001D11C1">
        <w:t xml:space="preserve"> on</w:t>
      </w:r>
      <w:r w:rsidR="001D51CA">
        <w:t xml:space="preserve"> “</w:t>
      </w:r>
      <w:r w:rsidR="00307133">
        <w:t>s</w:t>
      </w:r>
      <w:r w:rsidR="001D11C1" w:rsidRPr="00677BFC">
        <w:t>ocial tran</w:t>
      </w:r>
      <w:r w:rsidR="001D51CA">
        <w:t xml:space="preserve">sfers </w:t>
      </w:r>
      <w:r w:rsidR="00307133">
        <w:t>for</w:t>
      </w:r>
      <w:r w:rsidR="001D51CA">
        <w:t xml:space="preserve"> nutrition”. </w:t>
      </w:r>
      <w:r w:rsidR="004D3EBF">
        <w:t>G</w:t>
      </w:r>
      <w:r w:rsidR="00E64B64">
        <w:t>iven the relatively limited resources available for this activity, the stud</w:t>
      </w:r>
      <w:r w:rsidR="00307133">
        <w:t>y</w:t>
      </w:r>
      <w:r w:rsidR="00E64B64">
        <w:t xml:space="preserve"> will be limited to </w:t>
      </w:r>
      <w:r w:rsidR="00307133">
        <w:t xml:space="preserve">a </w:t>
      </w:r>
      <w:r w:rsidR="00E64B64">
        <w:t>desk review of the existing literature. Still, th</w:t>
      </w:r>
      <w:r w:rsidR="001D51CA">
        <w:t>is scoping study</w:t>
      </w:r>
      <w:r w:rsidR="00E64B64">
        <w:t xml:space="preserve"> could </w:t>
      </w:r>
      <w:r w:rsidR="004D3EBF">
        <w:t xml:space="preserve">set the ground for more in-depth </w:t>
      </w:r>
      <w:r w:rsidR="00E64B64">
        <w:t xml:space="preserve">follow-up </w:t>
      </w:r>
      <w:r w:rsidR="004D3EBF">
        <w:t xml:space="preserve">analyses </w:t>
      </w:r>
      <w:r w:rsidR="00E64B64">
        <w:t xml:space="preserve">outside of </w:t>
      </w:r>
      <w:r w:rsidR="004D3EBF">
        <w:t xml:space="preserve">the present </w:t>
      </w:r>
      <w:r w:rsidR="00E64B64">
        <w:t>ASiST</w:t>
      </w:r>
      <w:r w:rsidR="004D3EBF">
        <w:t xml:space="preserve"> contract. Also, n</w:t>
      </w:r>
      <w:r w:rsidR="00E64B64">
        <w:t xml:space="preserve">ew case studies could potentially be conducted as part of field missions. </w:t>
      </w:r>
      <w:r w:rsidR="004D3EBF">
        <w:t>The study findings</w:t>
      </w:r>
      <w:r w:rsidR="00E64B64">
        <w:t xml:space="preserve"> </w:t>
      </w:r>
      <w:r w:rsidR="004D3EBF">
        <w:t>will</w:t>
      </w:r>
      <w:r w:rsidR="00E64B64">
        <w:t xml:space="preserve"> be published as </w:t>
      </w:r>
      <w:r w:rsidR="001D51CA">
        <w:t xml:space="preserve">a </w:t>
      </w:r>
      <w:r w:rsidR="00E64B64">
        <w:t xml:space="preserve">stand-alone thematic paper </w:t>
      </w:r>
      <w:r w:rsidR="00A95201">
        <w:t>and</w:t>
      </w:r>
      <w:r w:rsidR="00E64B64">
        <w:t xml:space="preserve"> incorporated into the updated version of the Reference Document</w:t>
      </w:r>
      <w:r w:rsidR="004D3EBF">
        <w:t xml:space="preserve"> </w:t>
      </w:r>
      <w:r w:rsidR="001D11C1">
        <w:t xml:space="preserve">on </w:t>
      </w:r>
      <w:r w:rsidR="00705738">
        <w:t>s</w:t>
      </w:r>
      <w:r w:rsidR="001D11C1">
        <w:t xml:space="preserve">ocial </w:t>
      </w:r>
      <w:r w:rsidR="00705738">
        <w:t>t</w:t>
      </w:r>
      <w:r w:rsidR="001D11C1">
        <w:t xml:space="preserve">ransfers </w:t>
      </w:r>
      <w:r w:rsidR="00705738">
        <w:t xml:space="preserve">in the fight against hunger </w:t>
      </w:r>
      <w:r w:rsidR="001D11C1">
        <w:t xml:space="preserve">that will be produced at the end of </w:t>
      </w:r>
      <w:r w:rsidR="00A95201">
        <w:t>2013</w:t>
      </w:r>
      <w:r w:rsidR="001D11C1">
        <w:t>.</w:t>
      </w:r>
    </w:p>
    <w:p w:rsidR="006E7D13" w:rsidRDefault="006E7D13" w:rsidP="006E7D13">
      <w:pPr>
        <w:pStyle w:val="Titre2"/>
      </w:pPr>
      <w:bookmarkStart w:id="7" w:name="_Ref316307524"/>
      <w:r>
        <w:t xml:space="preserve">Technical support for </w:t>
      </w:r>
      <w:r w:rsidRPr="004E2EC5">
        <w:t>policy development</w:t>
      </w:r>
      <w:r>
        <w:t xml:space="preserve"> to headquarters</w:t>
      </w:r>
      <w:bookmarkEnd w:id="7"/>
    </w:p>
    <w:p w:rsidR="003B4F6A" w:rsidRDefault="00E95D64" w:rsidP="006E7D13">
      <w:r>
        <w:t>Throughout the duration of the assignment, ASiST will work in close collaboration with DEVCO units to ensure that findings and lessons learnt from the above activities are reflected in EU policies. DEVCO C1 is expected to organise m</w:t>
      </w:r>
      <w:r w:rsidRPr="007F4087">
        <w:t xml:space="preserve">onthly follow-up meetings </w:t>
      </w:r>
      <w:r>
        <w:t xml:space="preserve">(by conference call or mission) </w:t>
      </w:r>
      <w:r w:rsidRPr="007F4087">
        <w:t xml:space="preserve">of </w:t>
      </w:r>
      <w:r w:rsidR="00A74622">
        <w:t xml:space="preserve">ASiST </w:t>
      </w:r>
      <w:r w:rsidRPr="007F4087">
        <w:t xml:space="preserve">activities with </w:t>
      </w:r>
      <w:r>
        <w:t xml:space="preserve">DEVCO C1 </w:t>
      </w:r>
      <w:r w:rsidRPr="007F4087">
        <w:t xml:space="preserve">operational services, </w:t>
      </w:r>
      <w:r>
        <w:t xml:space="preserve">DEVCO D3 (Employment, Social Inclusion, Migration), the Directorate General (DG) for Foreign Policy Instruments Service (EEAS) </w:t>
      </w:r>
      <w:r w:rsidRPr="007F4087">
        <w:t xml:space="preserve">and </w:t>
      </w:r>
      <w:r>
        <w:t>the DG for Humanitarian Aid (</w:t>
      </w:r>
      <w:r w:rsidRPr="007F4087">
        <w:t>ECHO</w:t>
      </w:r>
      <w:r>
        <w:t>)</w:t>
      </w:r>
      <w:r w:rsidRPr="007F4087">
        <w:t>.</w:t>
      </w:r>
    </w:p>
    <w:p w:rsidR="00E95D64" w:rsidRDefault="00E95D64" w:rsidP="00A74622">
      <w:pPr>
        <w:ind w:firstLine="426"/>
      </w:pPr>
      <w:r>
        <w:t xml:space="preserve">In addition, ASiST will be opportunistic in taking advantage of any chances to feed into the debate around social transfers at </w:t>
      </w:r>
      <w:r w:rsidR="003B4F6A">
        <w:t>DEVCO</w:t>
      </w:r>
      <w:r>
        <w:t>, global and national level</w:t>
      </w:r>
      <w:r w:rsidR="003B4F6A">
        <w:t>s</w:t>
      </w:r>
      <w:r>
        <w:t>. Initial example</w:t>
      </w:r>
      <w:r w:rsidR="00A74622">
        <w:t>s</w:t>
      </w:r>
      <w:r>
        <w:t xml:space="preserve"> of this ar</w:t>
      </w:r>
      <w:r w:rsidRPr="00380693">
        <w:t>e (i) a paper on the potential for social transfers as a response to the crisis in the Horn of Africa,</w:t>
      </w:r>
      <w:r>
        <w:t xml:space="preserve"> and (ii) close collaboration with the </w:t>
      </w:r>
      <w:r w:rsidR="003B4F6A">
        <w:t>DEVCO D3</w:t>
      </w:r>
      <w:r>
        <w:t xml:space="preserve"> that is responsible for the development of the EC Com</w:t>
      </w:r>
      <w:r w:rsidR="00A74622">
        <w:t>munication on Social Protection</w:t>
      </w:r>
      <w:r>
        <w:t>.</w:t>
      </w:r>
    </w:p>
    <w:p w:rsidR="006E7D13" w:rsidRPr="007F4087" w:rsidRDefault="003B4F6A" w:rsidP="00A74622">
      <w:pPr>
        <w:ind w:firstLine="426"/>
      </w:pPr>
      <w:r>
        <w:t>Finally, t</w:t>
      </w:r>
      <w:r w:rsidR="006E7D13">
        <w:t>here are also plans for a</w:t>
      </w:r>
      <w:r w:rsidR="006E7D13" w:rsidRPr="007F4087">
        <w:t xml:space="preserve"> closing </w:t>
      </w:r>
      <w:r w:rsidR="006E7D13">
        <w:t xml:space="preserve">“splash” </w:t>
      </w:r>
      <w:r w:rsidR="006E7D13" w:rsidRPr="007F4087">
        <w:t xml:space="preserve">event </w:t>
      </w:r>
      <w:r w:rsidR="006E7D13">
        <w:t>of the</w:t>
      </w:r>
      <w:r w:rsidR="006E7D13" w:rsidRPr="007F4087">
        <w:t xml:space="preserve"> </w:t>
      </w:r>
      <w:r w:rsidR="00C6284A">
        <w:t xml:space="preserve">current </w:t>
      </w:r>
      <w:r w:rsidR="006E7D13" w:rsidRPr="007F4087">
        <w:t>contract</w:t>
      </w:r>
      <w:r w:rsidR="006E7D13">
        <w:t>, which</w:t>
      </w:r>
      <w:r w:rsidR="006E7D13" w:rsidRPr="007F4087">
        <w:t xml:space="preserve"> w</w:t>
      </w:r>
      <w:r w:rsidR="006E7D13">
        <w:t>ould</w:t>
      </w:r>
      <w:r w:rsidR="006E7D13" w:rsidRPr="007F4087">
        <w:t xml:space="preserve"> be an opportunity</w:t>
      </w:r>
      <w:r w:rsidR="00C6284A">
        <w:t xml:space="preserve"> (i)</w:t>
      </w:r>
      <w:r w:rsidR="006E7D13" w:rsidRPr="007F4087">
        <w:t xml:space="preserve"> to deliver a clear political message on the contribution of </w:t>
      </w:r>
      <w:r w:rsidR="006E7D13">
        <w:t xml:space="preserve">social </w:t>
      </w:r>
      <w:r w:rsidR="006E7D13">
        <w:lastRenderedPageBreak/>
        <w:t xml:space="preserve">transfers for food </w:t>
      </w:r>
      <w:r w:rsidR="00A74622">
        <w:t xml:space="preserve">and nutrition </w:t>
      </w:r>
      <w:r w:rsidR="006E7D13">
        <w:t>security</w:t>
      </w:r>
      <w:r w:rsidR="006E7D13" w:rsidRPr="007F4087">
        <w:t xml:space="preserve"> to sustainable inclusive growth and poverty reduction</w:t>
      </w:r>
      <w:r w:rsidR="00E95D64">
        <w:t xml:space="preserve">, </w:t>
      </w:r>
      <w:r w:rsidR="00C6284A">
        <w:t xml:space="preserve">(ii) </w:t>
      </w:r>
      <w:r w:rsidR="006E7D13" w:rsidRPr="007F4087">
        <w:t xml:space="preserve">to bring to the forefront of the development debate the </w:t>
      </w:r>
      <w:r w:rsidR="006E7D13">
        <w:t xml:space="preserve">need to support </w:t>
      </w:r>
      <w:r w:rsidR="006E7D13" w:rsidRPr="007F4087">
        <w:t>social transfers in order to address poverty</w:t>
      </w:r>
      <w:r w:rsidR="00A74622">
        <w:t xml:space="preserve">, </w:t>
      </w:r>
      <w:r w:rsidR="006E7D13" w:rsidRPr="007F4087">
        <w:t>hunger</w:t>
      </w:r>
      <w:r w:rsidR="00E95D64">
        <w:t>,</w:t>
      </w:r>
      <w:r w:rsidR="006E7D13">
        <w:t xml:space="preserve"> </w:t>
      </w:r>
      <w:r w:rsidR="00A74622">
        <w:t xml:space="preserve">and malnutrition, </w:t>
      </w:r>
      <w:r w:rsidR="006E7D13">
        <w:t xml:space="preserve">and </w:t>
      </w:r>
      <w:r w:rsidR="00C6284A">
        <w:t xml:space="preserve">(iii) </w:t>
      </w:r>
      <w:r w:rsidR="00E95D64">
        <w:t xml:space="preserve">to </w:t>
      </w:r>
      <w:r w:rsidR="006E7D13">
        <w:t xml:space="preserve">present </w:t>
      </w:r>
      <w:r w:rsidR="00E95D64">
        <w:t>the</w:t>
      </w:r>
      <w:r w:rsidR="006E7D13">
        <w:t xml:space="preserve"> updated version of the Reference Document. T</w:t>
      </w:r>
      <w:r w:rsidR="006E7D13" w:rsidRPr="007F4087">
        <w:t xml:space="preserve">he </w:t>
      </w:r>
      <w:r w:rsidR="006E7D13">
        <w:t>location</w:t>
      </w:r>
      <w:r w:rsidR="006E7D13" w:rsidRPr="007F4087">
        <w:t xml:space="preserve"> could be Brussels in the format of a hearing at the European Parliament or an international conference related to aid effectiveness.</w:t>
      </w:r>
    </w:p>
    <w:bookmarkEnd w:id="6"/>
    <w:p w:rsidR="005965CD" w:rsidRPr="005965CD" w:rsidRDefault="005965CD" w:rsidP="00380693">
      <w:pPr>
        <w:ind w:left="1701" w:hanging="1701"/>
        <w:rPr>
          <w:b/>
        </w:rPr>
      </w:pPr>
    </w:p>
    <w:sectPr w:rsidR="005965CD" w:rsidRPr="005965CD" w:rsidSect="003B367B">
      <w:footerReference w:type="even" r:id="rId11"/>
      <w:footerReference w:type="default" r:id="rId12"/>
      <w:footerReference w:type="first" r:id="rId13"/>
      <w:pgSz w:w="11913" w:h="16834" w:code="9"/>
      <w:pgMar w:top="1134" w:right="1418" w:bottom="1985" w:left="1134" w:header="720" w:footer="720" w:gutter="567"/>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66E" w:rsidRDefault="0070066E" w:rsidP="006A61C1">
      <w:r>
        <w:separator/>
      </w:r>
    </w:p>
  </w:endnote>
  <w:endnote w:type="continuationSeparator" w:id="0">
    <w:p w:rsidR="0070066E" w:rsidRDefault="0070066E" w:rsidP="006A61C1">
      <w:r>
        <w:continuationSeparator/>
      </w:r>
    </w:p>
  </w:endnote>
  <w:endnote w:id="1">
    <w:p w:rsidR="00785E01" w:rsidRPr="009A1801" w:rsidRDefault="00785E01" w:rsidP="00906A6D">
      <w:pPr>
        <w:pStyle w:val="Notedefin"/>
        <w:tabs>
          <w:tab w:val="left" w:pos="284"/>
        </w:tabs>
        <w:spacing w:after="120"/>
        <w:ind w:left="284" w:hanging="284"/>
        <w:rPr>
          <w:rFonts w:ascii="Times New Roman" w:hAnsi="Times New Roman"/>
        </w:rPr>
      </w:pPr>
      <w:r w:rsidRPr="00E64FE4">
        <w:rPr>
          <w:rStyle w:val="Appeldenotedefin"/>
          <w:rFonts w:ascii="Times New Roman" w:hAnsi="Times New Roman"/>
        </w:rPr>
        <w:endnoteRef/>
      </w:r>
      <w:r w:rsidRPr="009A1801">
        <w:rPr>
          <w:rFonts w:ascii="Times New Roman" w:hAnsi="Times New Roman"/>
        </w:rPr>
        <w:t xml:space="preserve"> </w:t>
      </w:r>
      <w:r>
        <w:rPr>
          <w:rFonts w:ascii="Times New Roman" w:hAnsi="Times New Roman"/>
        </w:rPr>
        <w:tab/>
      </w:r>
      <w:r w:rsidRPr="009A1801">
        <w:rPr>
          <w:rFonts w:ascii="Times New Roman" w:hAnsi="Times New Roman"/>
        </w:rPr>
        <w:t>An EU policy framework to assist developing countries in addressing food security challenges.  Communication from the Commission to the Council and the European Parliament (SEC 2010-379). COM (2010) 127 final.  Brussels, 31 March 2010.</w:t>
      </w:r>
    </w:p>
  </w:endnote>
  <w:endnote w:id="2">
    <w:p w:rsidR="00785E01" w:rsidRPr="001B45DB" w:rsidRDefault="00785E01" w:rsidP="00906A6D">
      <w:pPr>
        <w:pStyle w:val="Notedefin"/>
        <w:tabs>
          <w:tab w:val="left" w:pos="284"/>
        </w:tabs>
        <w:spacing w:after="120"/>
        <w:ind w:left="284" w:hanging="284"/>
        <w:rPr>
          <w:rFonts w:ascii="Times New Roman" w:hAnsi="Times New Roman"/>
        </w:rPr>
      </w:pPr>
      <w:r w:rsidRPr="00E64FE4">
        <w:rPr>
          <w:rStyle w:val="Appeldenotedefin"/>
          <w:rFonts w:ascii="Times New Roman" w:hAnsi="Times New Roman"/>
        </w:rPr>
        <w:endnoteRef/>
      </w:r>
      <w:r w:rsidRPr="001B45DB">
        <w:rPr>
          <w:rFonts w:ascii="Times New Roman" w:hAnsi="Times New Roman"/>
          <w:vertAlign w:val="superscript"/>
        </w:rPr>
        <w:t xml:space="preserve"> </w:t>
      </w:r>
      <w:r w:rsidRPr="001B45DB">
        <w:rPr>
          <w:rFonts w:ascii="Times New Roman" w:hAnsi="Times New Roman"/>
        </w:rPr>
        <w:tab/>
        <w:t xml:space="preserve">Social transfers are </w:t>
      </w:r>
      <w:r>
        <w:rPr>
          <w:rFonts w:ascii="Times New Roman" w:hAnsi="Times New Roman"/>
        </w:rPr>
        <w:t xml:space="preserve">defined here as non-contributory, direct </w:t>
      </w:r>
      <w:r w:rsidRPr="001B45DB">
        <w:rPr>
          <w:rFonts w:ascii="Times New Roman" w:hAnsi="Times New Roman"/>
        </w:rPr>
        <w:t>and regular resource transfers (in cash or in kind) to poor and vulnerable individuals or households, aimed at reducing deficits in consumption and, in some cases, strengthening productive capacity</w:t>
      </w:r>
      <w:r>
        <w:rPr>
          <w:rFonts w:ascii="Times New Roman" w:hAnsi="Times New Roman"/>
        </w:rPr>
        <w:t>.</w:t>
      </w:r>
    </w:p>
  </w:endnote>
  <w:endnote w:id="3">
    <w:p w:rsidR="00785E01" w:rsidRPr="005B7D77" w:rsidRDefault="00785E01" w:rsidP="005B7D77">
      <w:pPr>
        <w:pStyle w:val="Notedefin"/>
        <w:tabs>
          <w:tab w:val="left" w:pos="284"/>
        </w:tabs>
        <w:spacing w:after="120"/>
        <w:ind w:left="284" w:hanging="284"/>
        <w:rPr>
          <w:rFonts w:ascii="Times New Roman" w:hAnsi="Times New Roman"/>
          <w:szCs w:val="18"/>
        </w:rPr>
      </w:pPr>
      <w:r>
        <w:rPr>
          <w:rStyle w:val="Appeldenotedefin"/>
        </w:rPr>
        <w:endnoteRef/>
      </w:r>
      <w:r>
        <w:t xml:space="preserve"> </w:t>
      </w:r>
      <w:r>
        <w:tab/>
      </w:r>
      <w:r w:rsidRPr="005B7D77">
        <w:rPr>
          <w:rFonts w:ascii="Times New Roman" w:hAnsi="Times New Roman"/>
          <w:szCs w:val="18"/>
        </w:rPr>
        <w:t xml:space="preserve">The </w:t>
      </w:r>
      <w:r>
        <w:rPr>
          <w:rFonts w:ascii="Times New Roman" w:hAnsi="Times New Roman"/>
          <w:szCs w:val="18"/>
        </w:rPr>
        <w:t xml:space="preserve">EC Nutrition Advisory Service is also supervised by DEVCO C1. The NAS team can be contacted through the following email address: </w:t>
      </w:r>
      <w:hyperlink r:id="rId1" w:history="1">
        <w:r w:rsidRPr="00A424C0">
          <w:rPr>
            <w:rStyle w:val="Lienhypertexte"/>
            <w:rFonts w:ascii="Times New Roman" w:hAnsi="Times New Roman"/>
            <w:szCs w:val="18"/>
          </w:rPr>
          <w:t>DEVCO-NUTRITION-SUPPORT@ec.europa.eu</w:t>
        </w:r>
      </w:hyperlink>
      <w:r>
        <w:rPr>
          <w:rFonts w:ascii="Times New Roman" w:hAnsi="Times New Roman"/>
          <w:szCs w:val="18"/>
        </w:rPr>
        <w: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D2" w:rsidRDefault="001D3DEB" w:rsidP="006A61C1">
    <w:pPr>
      <w:pStyle w:val="Pieddepage"/>
      <w:rPr>
        <w:rStyle w:val="Numrodepage"/>
      </w:rPr>
    </w:pPr>
    <w:r>
      <w:rPr>
        <w:rStyle w:val="Numrodepage"/>
      </w:rPr>
      <w:fldChar w:fldCharType="begin"/>
    </w:r>
    <w:r w:rsidR="004A72D2">
      <w:rPr>
        <w:rStyle w:val="Numrodepage"/>
      </w:rPr>
      <w:instrText xml:space="preserve">PAGE  </w:instrText>
    </w:r>
    <w:r>
      <w:rPr>
        <w:rStyle w:val="Numrodepage"/>
      </w:rPr>
      <w:fldChar w:fldCharType="end"/>
    </w:r>
  </w:p>
  <w:p w:rsidR="004A72D2" w:rsidRDefault="004A72D2" w:rsidP="006A61C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D2" w:rsidRPr="000F4A6A" w:rsidRDefault="00CF4676" w:rsidP="003B367B">
    <w:pPr>
      <w:pStyle w:val="Pieddepage"/>
      <w:tabs>
        <w:tab w:val="right" w:pos="8789"/>
      </w:tabs>
      <w:ind w:right="5"/>
      <w:rPr>
        <w:rStyle w:val="Numrodepage"/>
        <w:rFonts w:ascii="Times New Roman" w:hAnsi="Times New Roman"/>
        <w:color w:val="808080"/>
        <w:sz w:val="20"/>
      </w:rPr>
    </w:pPr>
    <w:r>
      <w:rPr>
        <w:rStyle w:val="Numrodepage"/>
        <w:rFonts w:ascii="Times New Roman" w:hAnsi="Times New Roman"/>
        <w:color w:val="808080"/>
        <w:sz w:val="20"/>
      </w:rPr>
      <w:t xml:space="preserve">EC </w:t>
    </w:r>
    <w:r w:rsidRPr="00CF4676">
      <w:rPr>
        <w:rStyle w:val="Numrodepage"/>
        <w:rFonts w:ascii="Times New Roman" w:hAnsi="Times New Roman"/>
        <w:color w:val="808080"/>
        <w:sz w:val="20"/>
      </w:rPr>
      <w:t>Advisory Service in Social Transfers</w:t>
    </w:r>
    <w:r w:rsidR="004A72D2" w:rsidRPr="000F4A6A">
      <w:rPr>
        <w:rStyle w:val="Numrodepage"/>
        <w:rFonts w:ascii="Times New Roman" w:hAnsi="Times New Roman"/>
        <w:color w:val="808080"/>
        <w:sz w:val="20"/>
      </w:rPr>
      <w:tab/>
    </w:r>
    <w:r>
      <w:rPr>
        <w:rStyle w:val="Numrodepage"/>
        <w:rFonts w:ascii="Times New Roman" w:hAnsi="Times New Roman"/>
        <w:color w:val="808080"/>
        <w:sz w:val="20"/>
      </w:rPr>
      <w:t xml:space="preserve">April 2012 – </w:t>
    </w:r>
    <w:r w:rsidR="001D3DEB" w:rsidRPr="000F4A6A">
      <w:rPr>
        <w:rStyle w:val="Numrodepage"/>
        <w:rFonts w:ascii="Times New Roman" w:hAnsi="Times New Roman"/>
        <w:color w:val="808080"/>
        <w:sz w:val="20"/>
      </w:rPr>
      <w:fldChar w:fldCharType="begin"/>
    </w:r>
    <w:r w:rsidR="004A72D2" w:rsidRPr="000F4A6A">
      <w:rPr>
        <w:rStyle w:val="Numrodepage"/>
        <w:rFonts w:ascii="Times New Roman" w:hAnsi="Times New Roman"/>
        <w:color w:val="808080"/>
        <w:sz w:val="20"/>
      </w:rPr>
      <w:instrText xml:space="preserve">PAGE  </w:instrText>
    </w:r>
    <w:r w:rsidR="001D3DEB" w:rsidRPr="000F4A6A">
      <w:rPr>
        <w:rStyle w:val="Numrodepage"/>
        <w:rFonts w:ascii="Times New Roman" w:hAnsi="Times New Roman"/>
        <w:color w:val="808080"/>
        <w:sz w:val="20"/>
      </w:rPr>
      <w:fldChar w:fldCharType="separate"/>
    </w:r>
    <w:r w:rsidR="003D541E">
      <w:rPr>
        <w:rStyle w:val="Numrodepage"/>
        <w:rFonts w:ascii="Times New Roman" w:hAnsi="Times New Roman"/>
        <w:noProof/>
        <w:color w:val="808080"/>
        <w:sz w:val="20"/>
      </w:rPr>
      <w:t>3</w:t>
    </w:r>
    <w:r w:rsidR="001D3DEB" w:rsidRPr="000F4A6A">
      <w:rPr>
        <w:rStyle w:val="Numrodepage"/>
        <w:rFonts w:ascii="Times New Roman" w:hAnsi="Times New Roman"/>
        <w:color w:val="808080"/>
        <w:sz w:val="20"/>
      </w:rPr>
      <w:fldChar w:fldCharType="end"/>
    </w:r>
    <w:r>
      <w:rPr>
        <w:rStyle w:val="Numrodepage"/>
        <w:rFonts w:ascii="Times New Roman" w:hAnsi="Times New Roman"/>
        <w:color w:val="808080"/>
        <w:sz w:val="20"/>
      </w:rPr>
      <w:t>/</w:t>
    </w:r>
    <w:r w:rsidR="001D3DEB" w:rsidRPr="00CF4676">
      <w:rPr>
        <w:rStyle w:val="Numrodepage"/>
        <w:rFonts w:ascii="Times New Roman" w:hAnsi="Times New Roman"/>
        <w:color w:val="808080"/>
        <w:sz w:val="20"/>
      </w:rPr>
      <w:fldChar w:fldCharType="begin"/>
    </w:r>
    <w:r w:rsidRPr="00CF4676">
      <w:rPr>
        <w:rStyle w:val="Numrodepage"/>
        <w:rFonts w:ascii="Times New Roman" w:hAnsi="Times New Roman"/>
        <w:color w:val="808080"/>
        <w:sz w:val="20"/>
      </w:rPr>
      <w:instrText xml:space="preserve"> NUMPAGES  </w:instrText>
    </w:r>
    <w:r w:rsidR="001D3DEB" w:rsidRPr="00CF4676">
      <w:rPr>
        <w:rStyle w:val="Numrodepage"/>
        <w:rFonts w:ascii="Times New Roman" w:hAnsi="Times New Roman"/>
        <w:color w:val="808080"/>
        <w:sz w:val="20"/>
      </w:rPr>
      <w:fldChar w:fldCharType="separate"/>
    </w:r>
    <w:r w:rsidR="003D541E">
      <w:rPr>
        <w:rStyle w:val="Numrodepage"/>
        <w:rFonts w:ascii="Times New Roman" w:hAnsi="Times New Roman"/>
        <w:noProof/>
        <w:color w:val="808080"/>
        <w:sz w:val="20"/>
      </w:rPr>
      <w:t>4</w:t>
    </w:r>
    <w:r w:rsidR="001D3DEB" w:rsidRPr="00CF4676">
      <w:rPr>
        <w:rStyle w:val="Numrodepage"/>
        <w:rFonts w:ascii="Times New Roman" w:hAnsi="Times New Roman"/>
        <w:color w:val="808080"/>
        <w:sz w:val="20"/>
      </w:rPr>
      <w:fldChar w:fldCharType="end"/>
    </w:r>
  </w:p>
  <w:p w:rsidR="004A72D2" w:rsidRPr="00A60E57" w:rsidRDefault="004A72D2" w:rsidP="006A61C1">
    <w:pPr>
      <w:pStyle w:val="Pieddepage"/>
    </w:pPr>
    <w:r w:rsidRPr="00A60E57">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D2" w:rsidRPr="003B367B" w:rsidRDefault="004A72D2" w:rsidP="003B367B">
    <w:pPr>
      <w:pStyle w:val="Pieddepage"/>
      <w:tabs>
        <w:tab w:val="right" w:pos="8789"/>
      </w:tabs>
      <w:ind w:right="5"/>
      <w:rPr>
        <w:rFonts w:ascii="Times New Roman" w:hAnsi="Times New Roman"/>
        <w:b/>
        <w:sz w:val="20"/>
      </w:rPr>
    </w:pPr>
    <w:r w:rsidRPr="003B367B">
      <w:rPr>
        <w:rFonts w:ascii="Times New Roman" w:hAnsi="Times New Roman"/>
        <w:sz w:val="20"/>
      </w:rPr>
      <w:t>ASiST Plan of Work</w:t>
    </w:r>
    <w:r w:rsidRPr="003B367B">
      <w:rPr>
        <w:rFonts w:ascii="Times New Roman" w:hAnsi="Times New Roman"/>
        <w:sz w:val="20"/>
      </w:rPr>
      <w:tab/>
      <w:t xml:space="preserve">Page </w:t>
    </w:r>
    <w:r w:rsidR="001D3DEB" w:rsidRPr="003B367B">
      <w:rPr>
        <w:rStyle w:val="Numrodepage"/>
        <w:rFonts w:ascii="Times New Roman" w:hAnsi="Times New Roman"/>
        <w:sz w:val="20"/>
      </w:rPr>
      <w:fldChar w:fldCharType="begin"/>
    </w:r>
    <w:r w:rsidRPr="003B367B">
      <w:rPr>
        <w:rStyle w:val="Numrodepage"/>
        <w:rFonts w:ascii="Times New Roman" w:hAnsi="Times New Roman"/>
        <w:sz w:val="20"/>
      </w:rPr>
      <w:instrText xml:space="preserve"> PAGE </w:instrText>
    </w:r>
    <w:r w:rsidR="001D3DEB" w:rsidRPr="003B367B">
      <w:rPr>
        <w:rStyle w:val="Numrodepage"/>
        <w:rFonts w:ascii="Times New Roman" w:hAnsi="Times New Roman"/>
        <w:sz w:val="20"/>
      </w:rPr>
      <w:fldChar w:fldCharType="separate"/>
    </w:r>
    <w:r>
      <w:rPr>
        <w:rStyle w:val="Numrodepage"/>
        <w:rFonts w:ascii="Times New Roman" w:hAnsi="Times New Roman"/>
        <w:noProof/>
        <w:sz w:val="20"/>
      </w:rPr>
      <w:t>1</w:t>
    </w:r>
    <w:r w:rsidR="001D3DEB" w:rsidRPr="003B367B">
      <w:rPr>
        <w:rStyle w:val="Numrodepage"/>
        <w:rFonts w:ascii="Times New Roman" w:hAnsi="Times New Roman"/>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66E" w:rsidRDefault="0070066E" w:rsidP="006A61C1">
      <w:r>
        <w:separator/>
      </w:r>
    </w:p>
  </w:footnote>
  <w:footnote w:type="continuationSeparator" w:id="0">
    <w:p w:rsidR="0070066E" w:rsidRDefault="0070066E" w:rsidP="006A61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2D14"/>
    <w:multiLevelType w:val="hybridMultilevel"/>
    <w:tmpl w:val="48F89E38"/>
    <w:lvl w:ilvl="0" w:tplc="267CEF84">
      <w:start w:val="1"/>
      <w:numFmt w:val="decimal"/>
      <w:lvlText w:val="%1."/>
      <w:lvlJc w:val="left"/>
      <w:pPr>
        <w:ind w:left="192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
    <w:nsid w:val="0A7F6B1B"/>
    <w:multiLevelType w:val="hybridMultilevel"/>
    <w:tmpl w:val="900ED0FE"/>
    <w:lvl w:ilvl="0" w:tplc="AC28EAA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C021A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0FBC402F"/>
    <w:multiLevelType w:val="hybridMultilevel"/>
    <w:tmpl w:val="5E5A2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98A0C0B"/>
    <w:multiLevelType w:val="hybridMultilevel"/>
    <w:tmpl w:val="77FEBD9E"/>
    <w:lvl w:ilvl="0" w:tplc="0F9293CA">
      <w:start w:val="1"/>
      <w:numFmt w:val="lowerRoman"/>
      <w:lvlText w:val="%1."/>
      <w:lvlJc w:val="left"/>
      <w:pPr>
        <w:ind w:left="2062" w:hanging="360"/>
      </w:pPr>
      <w:rPr>
        <w:rFonts w:hint="default"/>
      </w:rPr>
    </w:lvl>
    <w:lvl w:ilvl="1" w:tplc="08090019" w:tentative="1">
      <w:start w:val="1"/>
      <w:numFmt w:val="lowerLetter"/>
      <w:lvlText w:val="%2."/>
      <w:lvlJc w:val="left"/>
      <w:pPr>
        <w:ind w:left="2722" w:hanging="360"/>
      </w:pPr>
    </w:lvl>
    <w:lvl w:ilvl="2" w:tplc="0809001B" w:tentative="1">
      <w:start w:val="1"/>
      <w:numFmt w:val="lowerRoman"/>
      <w:lvlText w:val="%3."/>
      <w:lvlJc w:val="right"/>
      <w:pPr>
        <w:ind w:left="3442" w:hanging="180"/>
      </w:pPr>
    </w:lvl>
    <w:lvl w:ilvl="3" w:tplc="0809000F" w:tentative="1">
      <w:start w:val="1"/>
      <w:numFmt w:val="decimal"/>
      <w:lvlText w:val="%4."/>
      <w:lvlJc w:val="left"/>
      <w:pPr>
        <w:ind w:left="4162" w:hanging="360"/>
      </w:pPr>
    </w:lvl>
    <w:lvl w:ilvl="4" w:tplc="08090019" w:tentative="1">
      <w:start w:val="1"/>
      <w:numFmt w:val="lowerLetter"/>
      <w:lvlText w:val="%5."/>
      <w:lvlJc w:val="left"/>
      <w:pPr>
        <w:ind w:left="4882" w:hanging="360"/>
      </w:pPr>
    </w:lvl>
    <w:lvl w:ilvl="5" w:tplc="0809001B" w:tentative="1">
      <w:start w:val="1"/>
      <w:numFmt w:val="lowerRoman"/>
      <w:lvlText w:val="%6."/>
      <w:lvlJc w:val="right"/>
      <w:pPr>
        <w:ind w:left="5602" w:hanging="180"/>
      </w:pPr>
    </w:lvl>
    <w:lvl w:ilvl="6" w:tplc="0809000F" w:tentative="1">
      <w:start w:val="1"/>
      <w:numFmt w:val="decimal"/>
      <w:lvlText w:val="%7."/>
      <w:lvlJc w:val="left"/>
      <w:pPr>
        <w:ind w:left="6322" w:hanging="360"/>
      </w:pPr>
    </w:lvl>
    <w:lvl w:ilvl="7" w:tplc="08090019" w:tentative="1">
      <w:start w:val="1"/>
      <w:numFmt w:val="lowerLetter"/>
      <w:lvlText w:val="%8."/>
      <w:lvlJc w:val="left"/>
      <w:pPr>
        <w:ind w:left="7042" w:hanging="360"/>
      </w:pPr>
    </w:lvl>
    <w:lvl w:ilvl="8" w:tplc="0809001B" w:tentative="1">
      <w:start w:val="1"/>
      <w:numFmt w:val="lowerRoman"/>
      <w:lvlText w:val="%9."/>
      <w:lvlJc w:val="right"/>
      <w:pPr>
        <w:ind w:left="7762" w:hanging="180"/>
      </w:pPr>
    </w:lvl>
  </w:abstractNum>
  <w:abstractNum w:abstractNumId="5">
    <w:nsid w:val="1D545FE5"/>
    <w:multiLevelType w:val="hybridMultilevel"/>
    <w:tmpl w:val="47E23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3926301"/>
    <w:multiLevelType w:val="hybridMultilevel"/>
    <w:tmpl w:val="C228E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42E340A"/>
    <w:multiLevelType w:val="multilevel"/>
    <w:tmpl w:val="2782F732"/>
    <w:lvl w:ilvl="0">
      <w:start w:val="1"/>
      <w:numFmt w:val="decimal"/>
      <w:pStyle w:val="Titre1"/>
      <w:lvlText w:val="%1."/>
      <w:lvlJc w:val="left"/>
      <w:pPr>
        <w:ind w:left="432" w:hanging="432"/>
      </w:pPr>
      <w:rPr>
        <w:rFonts w:ascii="Times New Roman Bold" w:hAnsi="Times New Roman Bold" w:hint="default"/>
        <w:b/>
        <w:i w:val="0"/>
        <w:color w:val="auto"/>
        <w:sz w:val="24"/>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8">
    <w:nsid w:val="26E02BC9"/>
    <w:multiLevelType w:val="hybridMultilevel"/>
    <w:tmpl w:val="15C691F8"/>
    <w:lvl w:ilvl="0" w:tplc="88C21D8A">
      <w:start w:val="4"/>
      <w:numFmt w:val="bullet"/>
      <w:lvlText w:val="-"/>
      <w:lvlJc w:val="left"/>
      <w:pPr>
        <w:ind w:left="1199" w:hanging="360"/>
      </w:pPr>
      <w:rPr>
        <w:rFonts w:ascii="Times New Roman" w:eastAsia="Times New Roman" w:hAnsi="Times New Roman" w:cs="Times New Roman" w:hint="default"/>
      </w:rPr>
    </w:lvl>
    <w:lvl w:ilvl="1" w:tplc="08090003" w:tentative="1">
      <w:start w:val="1"/>
      <w:numFmt w:val="bullet"/>
      <w:lvlText w:val="o"/>
      <w:lvlJc w:val="left"/>
      <w:pPr>
        <w:ind w:left="1919" w:hanging="360"/>
      </w:pPr>
      <w:rPr>
        <w:rFonts w:ascii="Courier New" w:hAnsi="Courier New" w:cs="Courier New" w:hint="default"/>
      </w:rPr>
    </w:lvl>
    <w:lvl w:ilvl="2" w:tplc="08090005" w:tentative="1">
      <w:start w:val="1"/>
      <w:numFmt w:val="bullet"/>
      <w:lvlText w:val=""/>
      <w:lvlJc w:val="left"/>
      <w:pPr>
        <w:ind w:left="2639" w:hanging="360"/>
      </w:pPr>
      <w:rPr>
        <w:rFonts w:ascii="Wingdings" w:hAnsi="Wingdings" w:hint="default"/>
      </w:rPr>
    </w:lvl>
    <w:lvl w:ilvl="3" w:tplc="08090001" w:tentative="1">
      <w:start w:val="1"/>
      <w:numFmt w:val="bullet"/>
      <w:lvlText w:val=""/>
      <w:lvlJc w:val="left"/>
      <w:pPr>
        <w:ind w:left="3359" w:hanging="360"/>
      </w:pPr>
      <w:rPr>
        <w:rFonts w:ascii="Symbol" w:hAnsi="Symbol" w:hint="default"/>
      </w:rPr>
    </w:lvl>
    <w:lvl w:ilvl="4" w:tplc="08090003" w:tentative="1">
      <w:start w:val="1"/>
      <w:numFmt w:val="bullet"/>
      <w:lvlText w:val="o"/>
      <w:lvlJc w:val="left"/>
      <w:pPr>
        <w:ind w:left="4079" w:hanging="360"/>
      </w:pPr>
      <w:rPr>
        <w:rFonts w:ascii="Courier New" w:hAnsi="Courier New" w:cs="Courier New" w:hint="default"/>
      </w:rPr>
    </w:lvl>
    <w:lvl w:ilvl="5" w:tplc="08090005" w:tentative="1">
      <w:start w:val="1"/>
      <w:numFmt w:val="bullet"/>
      <w:lvlText w:val=""/>
      <w:lvlJc w:val="left"/>
      <w:pPr>
        <w:ind w:left="4799" w:hanging="360"/>
      </w:pPr>
      <w:rPr>
        <w:rFonts w:ascii="Wingdings" w:hAnsi="Wingdings" w:hint="default"/>
      </w:rPr>
    </w:lvl>
    <w:lvl w:ilvl="6" w:tplc="08090001" w:tentative="1">
      <w:start w:val="1"/>
      <w:numFmt w:val="bullet"/>
      <w:lvlText w:val=""/>
      <w:lvlJc w:val="left"/>
      <w:pPr>
        <w:ind w:left="5519" w:hanging="360"/>
      </w:pPr>
      <w:rPr>
        <w:rFonts w:ascii="Symbol" w:hAnsi="Symbol" w:hint="default"/>
      </w:rPr>
    </w:lvl>
    <w:lvl w:ilvl="7" w:tplc="08090003" w:tentative="1">
      <w:start w:val="1"/>
      <w:numFmt w:val="bullet"/>
      <w:lvlText w:val="o"/>
      <w:lvlJc w:val="left"/>
      <w:pPr>
        <w:ind w:left="6239" w:hanging="360"/>
      </w:pPr>
      <w:rPr>
        <w:rFonts w:ascii="Courier New" w:hAnsi="Courier New" w:cs="Courier New" w:hint="default"/>
      </w:rPr>
    </w:lvl>
    <w:lvl w:ilvl="8" w:tplc="08090005" w:tentative="1">
      <w:start w:val="1"/>
      <w:numFmt w:val="bullet"/>
      <w:lvlText w:val=""/>
      <w:lvlJc w:val="left"/>
      <w:pPr>
        <w:ind w:left="6959" w:hanging="360"/>
      </w:pPr>
      <w:rPr>
        <w:rFonts w:ascii="Wingdings" w:hAnsi="Wingdings" w:hint="default"/>
      </w:rPr>
    </w:lvl>
  </w:abstractNum>
  <w:abstractNum w:abstractNumId="9">
    <w:nsid w:val="2D4A3DD2"/>
    <w:multiLevelType w:val="hybridMultilevel"/>
    <w:tmpl w:val="D6283F8E"/>
    <w:lvl w:ilvl="0" w:tplc="BF302FB6">
      <w:start w:val="3"/>
      <w:numFmt w:val="bullet"/>
      <w:lvlText w:val="-"/>
      <w:lvlJc w:val="left"/>
      <w:pPr>
        <w:ind w:left="720" w:hanging="360"/>
      </w:pPr>
      <w:rPr>
        <w:rFonts w:ascii="Calibri" w:eastAsia="Calibri" w:hAnsi="Calibri"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2D997D99"/>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1">
    <w:nsid w:val="318A458B"/>
    <w:multiLevelType w:val="multilevel"/>
    <w:tmpl w:val="66648C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32A64A9E"/>
    <w:multiLevelType w:val="hybridMultilevel"/>
    <w:tmpl w:val="C4743294"/>
    <w:lvl w:ilvl="0" w:tplc="88C21D8A">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3366A12"/>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nsid w:val="34F0073D"/>
    <w:multiLevelType w:val="hybridMultilevel"/>
    <w:tmpl w:val="6AE0A216"/>
    <w:lvl w:ilvl="0" w:tplc="F1F87E0E">
      <w:start w:val="6"/>
      <w:numFmt w:val="bullet"/>
      <w:lvlText w:val=""/>
      <w:lvlJc w:val="left"/>
      <w:pPr>
        <w:ind w:left="720" w:hanging="360"/>
      </w:pPr>
      <w:rPr>
        <w:rFonts w:ascii="Wingdings" w:eastAsia="Times New Roman" w:hAnsi="Wingdings" w:cs="Calibri"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67A1AD5"/>
    <w:multiLevelType w:val="hybridMultilevel"/>
    <w:tmpl w:val="4A10D97C"/>
    <w:lvl w:ilvl="0" w:tplc="AC28EAA8">
      <w:start w:val="1"/>
      <w:numFmt w:val="bullet"/>
      <w:lvlText w:val="-"/>
      <w:lvlJc w:val="left"/>
      <w:pPr>
        <w:ind w:left="1920" w:hanging="360"/>
      </w:pPr>
      <w:rPr>
        <w:rFonts w:ascii="Courier New" w:hAnsi="Courier New"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7">
    <w:nsid w:val="399C4FEF"/>
    <w:multiLevelType w:val="hybridMultilevel"/>
    <w:tmpl w:val="A21454AA"/>
    <w:lvl w:ilvl="0" w:tplc="88C21D8A">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A51715C"/>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9">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20">
    <w:nsid w:val="3DF46927"/>
    <w:multiLevelType w:val="hybridMultilevel"/>
    <w:tmpl w:val="56B27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FD51621"/>
    <w:multiLevelType w:val="hybridMultilevel"/>
    <w:tmpl w:val="6CF456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74034BB"/>
    <w:multiLevelType w:val="singleLevel"/>
    <w:tmpl w:val="0409000F"/>
    <w:lvl w:ilvl="0">
      <w:start w:val="1"/>
      <w:numFmt w:val="decimal"/>
      <w:lvlText w:val="%1."/>
      <w:lvlJc w:val="left"/>
      <w:pPr>
        <w:tabs>
          <w:tab w:val="num" w:pos="360"/>
        </w:tabs>
        <w:ind w:left="360" w:hanging="360"/>
      </w:pPr>
    </w:lvl>
  </w:abstractNum>
  <w:abstractNum w:abstractNumId="23">
    <w:nsid w:val="4A1A15FC"/>
    <w:multiLevelType w:val="hybridMultilevel"/>
    <w:tmpl w:val="7A2201C6"/>
    <w:lvl w:ilvl="0" w:tplc="1138D0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AA679E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5">
    <w:nsid w:val="4E282D14"/>
    <w:multiLevelType w:val="hybridMultilevel"/>
    <w:tmpl w:val="0D04BA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BE23CE0"/>
    <w:multiLevelType w:val="hybridMultilevel"/>
    <w:tmpl w:val="37CE4A14"/>
    <w:lvl w:ilvl="0" w:tplc="61A2EB6C">
      <w:start w:val="1"/>
      <w:numFmt w:val="bullet"/>
      <w:lvlText w:val=""/>
      <w:lvlJc w:val="left"/>
      <w:pPr>
        <w:ind w:left="774" w:hanging="360"/>
      </w:pPr>
      <w:rPr>
        <w:rFonts w:ascii="Wingdings" w:hAnsi="Wingdings" w:hint="default"/>
        <w:color w:val="auto"/>
        <w:sz w:val="20"/>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7">
    <w:nsid w:val="5F505558"/>
    <w:multiLevelType w:val="hybridMultilevel"/>
    <w:tmpl w:val="9006D5A6"/>
    <w:lvl w:ilvl="0" w:tplc="88C21D8A">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6FF066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29">
    <w:nsid w:val="67A3193D"/>
    <w:multiLevelType w:val="hybridMultilevel"/>
    <w:tmpl w:val="C1C2D064"/>
    <w:lvl w:ilvl="0" w:tplc="B4C469E4">
      <w:start w:val="1"/>
      <w:numFmt w:val="lowerLetter"/>
      <w:lvlText w:val="%1."/>
      <w:lvlJc w:val="left"/>
      <w:pPr>
        <w:ind w:left="2062" w:hanging="360"/>
      </w:pPr>
      <w:rPr>
        <w:rFonts w:hint="default"/>
        <w:sz w:val="24"/>
      </w:rPr>
    </w:lvl>
    <w:lvl w:ilvl="1" w:tplc="08090019" w:tentative="1">
      <w:start w:val="1"/>
      <w:numFmt w:val="lowerLetter"/>
      <w:lvlText w:val="%2."/>
      <w:lvlJc w:val="left"/>
      <w:pPr>
        <w:ind w:left="2722" w:hanging="360"/>
      </w:pPr>
    </w:lvl>
    <w:lvl w:ilvl="2" w:tplc="0809001B" w:tentative="1">
      <w:start w:val="1"/>
      <w:numFmt w:val="lowerRoman"/>
      <w:lvlText w:val="%3."/>
      <w:lvlJc w:val="right"/>
      <w:pPr>
        <w:ind w:left="3442" w:hanging="180"/>
      </w:pPr>
    </w:lvl>
    <w:lvl w:ilvl="3" w:tplc="0809000F" w:tentative="1">
      <w:start w:val="1"/>
      <w:numFmt w:val="decimal"/>
      <w:lvlText w:val="%4."/>
      <w:lvlJc w:val="left"/>
      <w:pPr>
        <w:ind w:left="4162" w:hanging="360"/>
      </w:pPr>
    </w:lvl>
    <w:lvl w:ilvl="4" w:tplc="08090019" w:tentative="1">
      <w:start w:val="1"/>
      <w:numFmt w:val="lowerLetter"/>
      <w:lvlText w:val="%5."/>
      <w:lvlJc w:val="left"/>
      <w:pPr>
        <w:ind w:left="4882" w:hanging="360"/>
      </w:pPr>
    </w:lvl>
    <w:lvl w:ilvl="5" w:tplc="0809001B" w:tentative="1">
      <w:start w:val="1"/>
      <w:numFmt w:val="lowerRoman"/>
      <w:lvlText w:val="%6."/>
      <w:lvlJc w:val="right"/>
      <w:pPr>
        <w:ind w:left="5602" w:hanging="180"/>
      </w:pPr>
    </w:lvl>
    <w:lvl w:ilvl="6" w:tplc="0809000F" w:tentative="1">
      <w:start w:val="1"/>
      <w:numFmt w:val="decimal"/>
      <w:lvlText w:val="%7."/>
      <w:lvlJc w:val="left"/>
      <w:pPr>
        <w:ind w:left="6322" w:hanging="360"/>
      </w:pPr>
    </w:lvl>
    <w:lvl w:ilvl="7" w:tplc="08090019" w:tentative="1">
      <w:start w:val="1"/>
      <w:numFmt w:val="lowerLetter"/>
      <w:lvlText w:val="%8."/>
      <w:lvlJc w:val="left"/>
      <w:pPr>
        <w:ind w:left="7042" w:hanging="360"/>
      </w:pPr>
    </w:lvl>
    <w:lvl w:ilvl="8" w:tplc="0809001B" w:tentative="1">
      <w:start w:val="1"/>
      <w:numFmt w:val="lowerRoman"/>
      <w:lvlText w:val="%9."/>
      <w:lvlJc w:val="right"/>
      <w:pPr>
        <w:ind w:left="7762" w:hanging="180"/>
      </w:pPr>
    </w:lvl>
  </w:abstractNum>
  <w:abstractNum w:abstractNumId="30">
    <w:nsid w:val="68780ED5"/>
    <w:multiLevelType w:val="hybridMultilevel"/>
    <w:tmpl w:val="84703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2671CBF"/>
    <w:multiLevelType w:val="hybridMultilevel"/>
    <w:tmpl w:val="FD6239A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4B63234"/>
    <w:multiLevelType w:val="hybridMultilevel"/>
    <w:tmpl w:val="6EEE203A"/>
    <w:lvl w:ilvl="0" w:tplc="0809000B">
      <w:start w:val="1"/>
      <w:numFmt w:val="bullet"/>
      <w:lvlText w:val=""/>
      <w:lvlJc w:val="left"/>
      <w:pPr>
        <w:tabs>
          <w:tab w:val="num" w:pos="1570"/>
        </w:tabs>
        <w:ind w:left="1570" w:hanging="360"/>
      </w:pPr>
      <w:rPr>
        <w:rFonts w:ascii="Wingdings" w:hAnsi="Wingdings" w:hint="default"/>
      </w:rPr>
    </w:lvl>
    <w:lvl w:ilvl="1" w:tplc="08090003" w:tentative="1">
      <w:start w:val="1"/>
      <w:numFmt w:val="bullet"/>
      <w:lvlText w:val="o"/>
      <w:lvlJc w:val="left"/>
      <w:pPr>
        <w:tabs>
          <w:tab w:val="num" w:pos="2290"/>
        </w:tabs>
        <w:ind w:left="2290" w:hanging="360"/>
      </w:pPr>
      <w:rPr>
        <w:rFonts w:ascii="Courier New" w:hAnsi="Courier New" w:cs="Courier New" w:hint="default"/>
      </w:rPr>
    </w:lvl>
    <w:lvl w:ilvl="2" w:tplc="08090005" w:tentative="1">
      <w:start w:val="1"/>
      <w:numFmt w:val="bullet"/>
      <w:lvlText w:val=""/>
      <w:lvlJc w:val="left"/>
      <w:pPr>
        <w:tabs>
          <w:tab w:val="num" w:pos="3010"/>
        </w:tabs>
        <w:ind w:left="3010" w:hanging="360"/>
      </w:pPr>
      <w:rPr>
        <w:rFonts w:ascii="Wingdings" w:hAnsi="Wingdings" w:hint="default"/>
      </w:rPr>
    </w:lvl>
    <w:lvl w:ilvl="3" w:tplc="08090001" w:tentative="1">
      <w:start w:val="1"/>
      <w:numFmt w:val="bullet"/>
      <w:lvlText w:val=""/>
      <w:lvlJc w:val="left"/>
      <w:pPr>
        <w:tabs>
          <w:tab w:val="num" w:pos="3730"/>
        </w:tabs>
        <w:ind w:left="3730" w:hanging="360"/>
      </w:pPr>
      <w:rPr>
        <w:rFonts w:ascii="Symbol" w:hAnsi="Symbol" w:hint="default"/>
      </w:rPr>
    </w:lvl>
    <w:lvl w:ilvl="4" w:tplc="08090003" w:tentative="1">
      <w:start w:val="1"/>
      <w:numFmt w:val="bullet"/>
      <w:lvlText w:val="o"/>
      <w:lvlJc w:val="left"/>
      <w:pPr>
        <w:tabs>
          <w:tab w:val="num" w:pos="4450"/>
        </w:tabs>
        <w:ind w:left="4450" w:hanging="360"/>
      </w:pPr>
      <w:rPr>
        <w:rFonts w:ascii="Courier New" w:hAnsi="Courier New" w:cs="Courier New" w:hint="default"/>
      </w:rPr>
    </w:lvl>
    <w:lvl w:ilvl="5" w:tplc="08090005" w:tentative="1">
      <w:start w:val="1"/>
      <w:numFmt w:val="bullet"/>
      <w:lvlText w:val=""/>
      <w:lvlJc w:val="left"/>
      <w:pPr>
        <w:tabs>
          <w:tab w:val="num" w:pos="5170"/>
        </w:tabs>
        <w:ind w:left="5170" w:hanging="360"/>
      </w:pPr>
      <w:rPr>
        <w:rFonts w:ascii="Wingdings" w:hAnsi="Wingdings" w:hint="default"/>
      </w:rPr>
    </w:lvl>
    <w:lvl w:ilvl="6" w:tplc="08090001" w:tentative="1">
      <w:start w:val="1"/>
      <w:numFmt w:val="bullet"/>
      <w:lvlText w:val=""/>
      <w:lvlJc w:val="left"/>
      <w:pPr>
        <w:tabs>
          <w:tab w:val="num" w:pos="5890"/>
        </w:tabs>
        <w:ind w:left="5890" w:hanging="360"/>
      </w:pPr>
      <w:rPr>
        <w:rFonts w:ascii="Symbol" w:hAnsi="Symbol" w:hint="default"/>
      </w:rPr>
    </w:lvl>
    <w:lvl w:ilvl="7" w:tplc="08090003" w:tentative="1">
      <w:start w:val="1"/>
      <w:numFmt w:val="bullet"/>
      <w:lvlText w:val="o"/>
      <w:lvlJc w:val="left"/>
      <w:pPr>
        <w:tabs>
          <w:tab w:val="num" w:pos="6610"/>
        </w:tabs>
        <w:ind w:left="6610" w:hanging="360"/>
      </w:pPr>
      <w:rPr>
        <w:rFonts w:ascii="Courier New" w:hAnsi="Courier New" w:cs="Courier New" w:hint="default"/>
      </w:rPr>
    </w:lvl>
    <w:lvl w:ilvl="8" w:tplc="08090005" w:tentative="1">
      <w:start w:val="1"/>
      <w:numFmt w:val="bullet"/>
      <w:lvlText w:val=""/>
      <w:lvlJc w:val="left"/>
      <w:pPr>
        <w:tabs>
          <w:tab w:val="num" w:pos="7330"/>
        </w:tabs>
        <w:ind w:left="7330" w:hanging="360"/>
      </w:pPr>
      <w:rPr>
        <w:rFonts w:ascii="Wingdings" w:hAnsi="Wingdings" w:hint="default"/>
      </w:rPr>
    </w:lvl>
  </w:abstractNum>
  <w:abstractNum w:abstractNumId="33">
    <w:nsid w:val="79340DED"/>
    <w:multiLevelType w:val="hybridMultilevel"/>
    <w:tmpl w:val="D7FEA6B8"/>
    <w:lvl w:ilvl="0" w:tplc="0F9293CA">
      <w:start w:val="1"/>
      <w:numFmt w:val="lowerRoma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B21724D"/>
    <w:multiLevelType w:val="hybridMultilevel"/>
    <w:tmpl w:val="77F6A7C6"/>
    <w:lvl w:ilvl="0" w:tplc="AC28EAA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32"/>
  </w:num>
  <w:num w:numId="4">
    <w:abstractNumId w:val="14"/>
  </w:num>
  <w:num w:numId="5">
    <w:abstractNumId w:val="22"/>
  </w:num>
  <w:num w:numId="6">
    <w:abstractNumId w:val="28"/>
  </w:num>
  <w:num w:numId="7">
    <w:abstractNumId w:val="24"/>
  </w:num>
  <w:num w:numId="8">
    <w:abstractNumId w:val="18"/>
  </w:num>
  <w:num w:numId="9">
    <w:abstractNumId w:val="10"/>
  </w:num>
  <w:num w:numId="10">
    <w:abstractNumId w:val="13"/>
  </w:num>
  <w:num w:numId="11">
    <w:abstractNumId w:val="2"/>
  </w:num>
  <w:num w:numId="12">
    <w:abstractNumId w:val="31"/>
  </w:num>
  <w:num w:numId="13">
    <w:abstractNumId w:val="3"/>
  </w:num>
  <w:num w:numId="14">
    <w:abstractNumId w:val="21"/>
  </w:num>
  <w:num w:numId="15">
    <w:abstractNumId w:val="20"/>
  </w:num>
  <w:num w:numId="16">
    <w:abstractNumId w:val="30"/>
  </w:num>
  <w:num w:numId="17">
    <w:abstractNumId w:val="27"/>
  </w:num>
  <w:num w:numId="18">
    <w:abstractNumId w:val="8"/>
  </w:num>
  <w:num w:numId="19">
    <w:abstractNumId w:val="12"/>
  </w:num>
  <w:num w:numId="20">
    <w:abstractNumId w:val="17"/>
  </w:num>
  <w:num w:numId="21">
    <w:abstractNumId w:val="6"/>
  </w:num>
  <w:num w:numId="22">
    <w:abstractNumId w:val="34"/>
  </w:num>
  <w:num w:numId="23">
    <w:abstractNumId w:val="25"/>
  </w:num>
  <w:num w:numId="24">
    <w:abstractNumId w:val="5"/>
  </w:num>
  <w:num w:numId="25">
    <w:abstractNumId w:val="1"/>
  </w:num>
  <w:num w:numId="26">
    <w:abstractNumId w:val="4"/>
  </w:num>
  <w:num w:numId="27">
    <w:abstractNumId w:val="7"/>
  </w:num>
  <w:num w:numId="28">
    <w:abstractNumId w:val="7"/>
  </w:num>
  <w:num w:numId="29">
    <w:abstractNumId w:val="11"/>
  </w:num>
  <w:num w:numId="30">
    <w:abstractNumId w:val="26"/>
  </w:num>
  <w:num w:numId="31">
    <w:abstractNumId w:val="0"/>
  </w:num>
  <w:num w:numId="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33"/>
  </w:num>
  <w:num w:numId="35">
    <w:abstractNumId w:val="23"/>
  </w:num>
  <w:num w:numId="36">
    <w:abstractNumId w:val="15"/>
  </w:num>
  <w:num w:numId="37">
    <w:abstractNumId w:val="7"/>
  </w:num>
  <w:num w:numId="38">
    <w:abstractNumId w:val="7"/>
  </w:num>
  <w:num w:numId="39">
    <w:abstractNumId w:val="7"/>
  </w:num>
  <w:num w:numId="40">
    <w:abstractNumId w:val="29"/>
  </w:num>
  <w:num w:numId="4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docVars>
    <w:docVar w:name="LW_DocType" w:val="NORMAL"/>
  </w:docVars>
  <w:rsids>
    <w:rsidRoot w:val="00A15879"/>
    <w:rsid w:val="00010836"/>
    <w:rsid w:val="00011568"/>
    <w:rsid w:val="00020DD4"/>
    <w:rsid w:val="000214B0"/>
    <w:rsid w:val="00030A1A"/>
    <w:rsid w:val="000328F5"/>
    <w:rsid w:val="000375A6"/>
    <w:rsid w:val="000478BE"/>
    <w:rsid w:val="00054263"/>
    <w:rsid w:val="000560A9"/>
    <w:rsid w:val="000613BF"/>
    <w:rsid w:val="00062656"/>
    <w:rsid w:val="00066974"/>
    <w:rsid w:val="00075D87"/>
    <w:rsid w:val="00075F40"/>
    <w:rsid w:val="00077669"/>
    <w:rsid w:val="000813D2"/>
    <w:rsid w:val="00082B0D"/>
    <w:rsid w:val="000854D0"/>
    <w:rsid w:val="00093259"/>
    <w:rsid w:val="00093D8F"/>
    <w:rsid w:val="000978F6"/>
    <w:rsid w:val="00097E47"/>
    <w:rsid w:val="000B171F"/>
    <w:rsid w:val="000B2636"/>
    <w:rsid w:val="000B35CE"/>
    <w:rsid w:val="000C7A67"/>
    <w:rsid w:val="000D0E31"/>
    <w:rsid w:val="000D18AD"/>
    <w:rsid w:val="000E7249"/>
    <w:rsid w:val="000F4A6A"/>
    <w:rsid w:val="0010090A"/>
    <w:rsid w:val="00104520"/>
    <w:rsid w:val="00110C02"/>
    <w:rsid w:val="00113ADA"/>
    <w:rsid w:val="00121F83"/>
    <w:rsid w:val="00122238"/>
    <w:rsid w:val="001301BB"/>
    <w:rsid w:val="001342BF"/>
    <w:rsid w:val="001363A6"/>
    <w:rsid w:val="00137612"/>
    <w:rsid w:val="00145C3C"/>
    <w:rsid w:val="00150B9A"/>
    <w:rsid w:val="00160DC4"/>
    <w:rsid w:val="00161F02"/>
    <w:rsid w:val="00170179"/>
    <w:rsid w:val="0017170F"/>
    <w:rsid w:val="001737FF"/>
    <w:rsid w:val="00174EC8"/>
    <w:rsid w:val="00175485"/>
    <w:rsid w:val="00176341"/>
    <w:rsid w:val="00177147"/>
    <w:rsid w:val="0018087A"/>
    <w:rsid w:val="00181F26"/>
    <w:rsid w:val="00187C94"/>
    <w:rsid w:val="001A48D9"/>
    <w:rsid w:val="001A61D9"/>
    <w:rsid w:val="001B1614"/>
    <w:rsid w:val="001B45DB"/>
    <w:rsid w:val="001B5FFA"/>
    <w:rsid w:val="001C2054"/>
    <w:rsid w:val="001C365E"/>
    <w:rsid w:val="001C3D73"/>
    <w:rsid w:val="001D11C1"/>
    <w:rsid w:val="001D3DEB"/>
    <w:rsid w:val="001D4D4D"/>
    <w:rsid w:val="001D51CA"/>
    <w:rsid w:val="001D6733"/>
    <w:rsid w:val="001E2950"/>
    <w:rsid w:val="001E7E1B"/>
    <w:rsid w:val="001F1F4E"/>
    <w:rsid w:val="00207D69"/>
    <w:rsid w:val="00211BA2"/>
    <w:rsid w:val="00212685"/>
    <w:rsid w:val="00220DCF"/>
    <w:rsid w:val="002278C0"/>
    <w:rsid w:val="002307DF"/>
    <w:rsid w:val="002402C7"/>
    <w:rsid w:val="00246798"/>
    <w:rsid w:val="0024756A"/>
    <w:rsid w:val="00247B40"/>
    <w:rsid w:val="00273460"/>
    <w:rsid w:val="002740E1"/>
    <w:rsid w:val="002765E5"/>
    <w:rsid w:val="00283847"/>
    <w:rsid w:val="002842C4"/>
    <w:rsid w:val="00295813"/>
    <w:rsid w:val="002A77F1"/>
    <w:rsid w:val="002B2F44"/>
    <w:rsid w:val="002C05B2"/>
    <w:rsid w:val="002C3EC3"/>
    <w:rsid w:val="002C50AB"/>
    <w:rsid w:val="002D6386"/>
    <w:rsid w:val="002E302B"/>
    <w:rsid w:val="002E6087"/>
    <w:rsid w:val="002F2E85"/>
    <w:rsid w:val="002F32A2"/>
    <w:rsid w:val="00304E83"/>
    <w:rsid w:val="003055A3"/>
    <w:rsid w:val="00306192"/>
    <w:rsid w:val="00307133"/>
    <w:rsid w:val="003130B4"/>
    <w:rsid w:val="00313475"/>
    <w:rsid w:val="00315B3D"/>
    <w:rsid w:val="00316BEC"/>
    <w:rsid w:val="00317F95"/>
    <w:rsid w:val="0032050A"/>
    <w:rsid w:val="003207C3"/>
    <w:rsid w:val="00324650"/>
    <w:rsid w:val="00340703"/>
    <w:rsid w:val="00341630"/>
    <w:rsid w:val="00346CD1"/>
    <w:rsid w:val="003474C3"/>
    <w:rsid w:val="003522BA"/>
    <w:rsid w:val="00363CDB"/>
    <w:rsid w:val="00367671"/>
    <w:rsid w:val="00372227"/>
    <w:rsid w:val="00380693"/>
    <w:rsid w:val="0038214A"/>
    <w:rsid w:val="00382C80"/>
    <w:rsid w:val="00391224"/>
    <w:rsid w:val="003941BD"/>
    <w:rsid w:val="003961A7"/>
    <w:rsid w:val="00396714"/>
    <w:rsid w:val="003A1F81"/>
    <w:rsid w:val="003A3028"/>
    <w:rsid w:val="003B367B"/>
    <w:rsid w:val="003B4F6A"/>
    <w:rsid w:val="003C1123"/>
    <w:rsid w:val="003C2056"/>
    <w:rsid w:val="003D541E"/>
    <w:rsid w:val="003D6F08"/>
    <w:rsid w:val="003D7C76"/>
    <w:rsid w:val="003E1F5F"/>
    <w:rsid w:val="003E25F1"/>
    <w:rsid w:val="003E30BD"/>
    <w:rsid w:val="003E6EAF"/>
    <w:rsid w:val="003F3270"/>
    <w:rsid w:val="003F659F"/>
    <w:rsid w:val="00402A3A"/>
    <w:rsid w:val="0040505D"/>
    <w:rsid w:val="00411A57"/>
    <w:rsid w:val="00417B3A"/>
    <w:rsid w:val="004209D5"/>
    <w:rsid w:val="004220B2"/>
    <w:rsid w:val="00422D47"/>
    <w:rsid w:val="0042671C"/>
    <w:rsid w:val="004277BA"/>
    <w:rsid w:val="004463DF"/>
    <w:rsid w:val="00447F64"/>
    <w:rsid w:val="00450BE7"/>
    <w:rsid w:val="00456D32"/>
    <w:rsid w:val="00457208"/>
    <w:rsid w:val="00463316"/>
    <w:rsid w:val="0046367C"/>
    <w:rsid w:val="00472AF6"/>
    <w:rsid w:val="00473FCE"/>
    <w:rsid w:val="004861BB"/>
    <w:rsid w:val="0049544E"/>
    <w:rsid w:val="004A096C"/>
    <w:rsid w:val="004A0AC5"/>
    <w:rsid w:val="004A1237"/>
    <w:rsid w:val="004A3561"/>
    <w:rsid w:val="004A41B8"/>
    <w:rsid w:val="004A712D"/>
    <w:rsid w:val="004A72D2"/>
    <w:rsid w:val="004B1A56"/>
    <w:rsid w:val="004B4F3A"/>
    <w:rsid w:val="004C36DF"/>
    <w:rsid w:val="004C6126"/>
    <w:rsid w:val="004D08E3"/>
    <w:rsid w:val="004D3EBF"/>
    <w:rsid w:val="004E248C"/>
    <w:rsid w:val="004E2EC5"/>
    <w:rsid w:val="004E4215"/>
    <w:rsid w:val="004F4936"/>
    <w:rsid w:val="004F7474"/>
    <w:rsid w:val="00507AA2"/>
    <w:rsid w:val="00514423"/>
    <w:rsid w:val="00514CAF"/>
    <w:rsid w:val="00524A83"/>
    <w:rsid w:val="00524F69"/>
    <w:rsid w:val="00526FF1"/>
    <w:rsid w:val="00527C57"/>
    <w:rsid w:val="00533FBB"/>
    <w:rsid w:val="005365E1"/>
    <w:rsid w:val="0053661A"/>
    <w:rsid w:val="0054202A"/>
    <w:rsid w:val="005469A0"/>
    <w:rsid w:val="00554730"/>
    <w:rsid w:val="00557983"/>
    <w:rsid w:val="005626F7"/>
    <w:rsid w:val="00563F73"/>
    <w:rsid w:val="00564312"/>
    <w:rsid w:val="005719F3"/>
    <w:rsid w:val="00587805"/>
    <w:rsid w:val="00594808"/>
    <w:rsid w:val="005964E3"/>
    <w:rsid w:val="005965CD"/>
    <w:rsid w:val="00597974"/>
    <w:rsid w:val="005A0890"/>
    <w:rsid w:val="005A2FA3"/>
    <w:rsid w:val="005B2E2E"/>
    <w:rsid w:val="005B3BDD"/>
    <w:rsid w:val="005B6D80"/>
    <w:rsid w:val="005B7D77"/>
    <w:rsid w:val="005C13B4"/>
    <w:rsid w:val="005D140C"/>
    <w:rsid w:val="005D17DA"/>
    <w:rsid w:val="005D1B22"/>
    <w:rsid w:val="005D1E6A"/>
    <w:rsid w:val="005D4FC7"/>
    <w:rsid w:val="005D7435"/>
    <w:rsid w:val="005E5176"/>
    <w:rsid w:val="005F181D"/>
    <w:rsid w:val="006010C0"/>
    <w:rsid w:val="00605A26"/>
    <w:rsid w:val="006074CE"/>
    <w:rsid w:val="0061481E"/>
    <w:rsid w:val="00624B98"/>
    <w:rsid w:val="006303B9"/>
    <w:rsid w:val="006333EA"/>
    <w:rsid w:val="00637B5F"/>
    <w:rsid w:val="00640274"/>
    <w:rsid w:val="006611C3"/>
    <w:rsid w:val="006655E1"/>
    <w:rsid w:val="006742D5"/>
    <w:rsid w:val="00674E8A"/>
    <w:rsid w:val="006773A0"/>
    <w:rsid w:val="00677BFC"/>
    <w:rsid w:val="00680124"/>
    <w:rsid w:val="006832EA"/>
    <w:rsid w:val="006840DC"/>
    <w:rsid w:val="006912DC"/>
    <w:rsid w:val="0069577A"/>
    <w:rsid w:val="006A1108"/>
    <w:rsid w:val="006A61C1"/>
    <w:rsid w:val="006A6FE3"/>
    <w:rsid w:val="006C1845"/>
    <w:rsid w:val="006C5ADF"/>
    <w:rsid w:val="006D03EE"/>
    <w:rsid w:val="006D0FC5"/>
    <w:rsid w:val="006D1ED9"/>
    <w:rsid w:val="006D2641"/>
    <w:rsid w:val="006D4E06"/>
    <w:rsid w:val="006E24F0"/>
    <w:rsid w:val="006E327C"/>
    <w:rsid w:val="006E7D13"/>
    <w:rsid w:val="006F0161"/>
    <w:rsid w:val="006F6505"/>
    <w:rsid w:val="0070066E"/>
    <w:rsid w:val="007054D5"/>
    <w:rsid w:val="00705738"/>
    <w:rsid w:val="00707EC0"/>
    <w:rsid w:val="007232A5"/>
    <w:rsid w:val="00725CD1"/>
    <w:rsid w:val="00734669"/>
    <w:rsid w:val="0073579E"/>
    <w:rsid w:val="00737480"/>
    <w:rsid w:val="0073791E"/>
    <w:rsid w:val="00740521"/>
    <w:rsid w:val="00754972"/>
    <w:rsid w:val="00764177"/>
    <w:rsid w:val="007656CC"/>
    <w:rsid w:val="007760A9"/>
    <w:rsid w:val="00776DB7"/>
    <w:rsid w:val="00780F68"/>
    <w:rsid w:val="00785E01"/>
    <w:rsid w:val="00790274"/>
    <w:rsid w:val="00796025"/>
    <w:rsid w:val="0079621A"/>
    <w:rsid w:val="007A250B"/>
    <w:rsid w:val="007B475B"/>
    <w:rsid w:val="007B77A5"/>
    <w:rsid w:val="007C5D3C"/>
    <w:rsid w:val="007D15C9"/>
    <w:rsid w:val="007D3E33"/>
    <w:rsid w:val="007D48F9"/>
    <w:rsid w:val="007E514D"/>
    <w:rsid w:val="007F1EBC"/>
    <w:rsid w:val="007F4087"/>
    <w:rsid w:val="007F5A9D"/>
    <w:rsid w:val="007F7501"/>
    <w:rsid w:val="00802D60"/>
    <w:rsid w:val="00805710"/>
    <w:rsid w:val="00817AB9"/>
    <w:rsid w:val="00824366"/>
    <w:rsid w:val="00827D13"/>
    <w:rsid w:val="00832E6C"/>
    <w:rsid w:val="00834B61"/>
    <w:rsid w:val="00836AAC"/>
    <w:rsid w:val="00851AC7"/>
    <w:rsid w:val="008544CB"/>
    <w:rsid w:val="008620F9"/>
    <w:rsid w:val="00864FBF"/>
    <w:rsid w:val="008767B2"/>
    <w:rsid w:val="00881208"/>
    <w:rsid w:val="00883949"/>
    <w:rsid w:val="00886EFF"/>
    <w:rsid w:val="00894801"/>
    <w:rsid w:val="00896F6F"/>
    <w:rsid w:val="008A3141"/>
    <w:rsid w:val="008A33DA"/>
    <w:rsid w:val="008A5EAA"/>
    <w:rsid w:val="008C57CA"/>
    <w:rsid w:val="008C7D26"/>
    <w:rsid w:val="008E44A7"/>
    <w:rsid w:val="008F1E0D"/>
    <w:rsid w:val="008F6DC5"/>
    <w:rsid w:val="008F6F16"/>
    <w:rsid w:val="00906396"/>
    <w:rsid w:val="00906A6D"/>
    <w:rsid w:val="0091212B"/>
    <w:rsid w:val="00920402"/>
    <w:rsid w:val="009317F6"/>
    <w:rsid w:val="009407E3"/>
    <w:rsid w:val="0094163D"/>
    <w:rsid w:val="0095181F"/>
    <w:rsid w:val="00957736"/>
    <w:rsid w:val="00961092"/>
    <w:rsid w:val="00964B55"/>
    <w:rsid w:val="00966A3E"/>
    <w:rsid w:val="009954AA"/>
    <w:rsid w:val="009A001E"/>
    <w:rsid w:val="009A1801"/>
    <w:rsid w:val="009A2ECB"/>
    <w:rsid w:val="009B27BB"/>
    <w:rsid w:val="009B3AB2"/>
    <w:rsid w:val="009B4340"/>
    <w:rsid w:val="009B4739"/>
    <w:rsid w:val="009D6A87"/>
    <w:rsid w:val="009E194E"/>
    <w:rsid w:val="009E2B10"/>
    <w:rsid w:val="009E5ACD"/>
    <w:rsid w:val="009F734A"/>
    <w:rsid w:val="009F7BBC"/>
    <w:rsid w:val="00A01549"/>
    <w:rsid w:val="00A15314"/>
    <w:rsid w:val="00A15879"/>
    <w:rsid w:val="00A16716"/>
    <w:rsid w:val="00A246A8"/>
    <w:rsid w:val="00A260E1"/>
    <w:rsid w:val="00A32251"/>
    <w:rsid w:val="00A4454B"/>
    <w:rsid w:val="00A4637F"/>
    <w:rsid w:val="00A60196"/>
    <w:rsid w:val="00A61396"/>
    <w:rsid w:val="00A6516D"/>
    <w:rsid w:val="00A71626"/>
    <w:rsid w:val="00A74622"/>
    <w:rsid w:val="00A7557E"/>
    <w:rsid w:val="00A801CE"/>
    <w:rsid w:val="00A80EF0"/>
    <w:rsid w:val="00A869CA"/>
    <w:rsid w:val="00A87AD8"/>
    <w:rsid w:val="00A92AAA"/>
    <w:rsid w:val="00A95201"/>
    <w:rsid w:val="00A9601F"/>
    <w:rsid w:val="00AA0894"/>
    <w:rsid w:val="00AA6618"/>
    <w:rsid w:val="00AA7059"/>
    <w:rsid w:val="00AB0639"/>
    <w:rsid w:val="00AB7AF2"/>
    <w:rsid w:val="00AC303C"/>
    <w:rsid w:val="00AC6DEE"/>
    <w:rsid w:val="00AC79EB"/>
    <w:rsid w:val="00AD5DFE"/>
    <w:rsid w:val="00AE30CC"/>
    <w:rsid w:val="00AF220D"/>
    <w:rsid w:val="00AF3969"/>
    <w:rsid w:val="00AF3CBC"/>
    <w:rsid w:val="00B044E9"/>
    <w:rsid w:val="00B12709"/>
    <w:rsid w:val="00B14C5B"/>
    <w:rsid w:val="00B228B5"/>
    <w:rsid w:val="00B31F78"/>
    <w:rsid w:val="00B32277"/>
    <w:rsid w:val="00B34864"/>
    <w:rsid w:val="00B35E56"/>
    <w:rsid w:val="00B44852"/>
    <w:rsid w:val="00B55454"/>
    <w:rsid w:val="00B56A87"/>
    <w:rsid w:val="00B56EC1"/>
    <w:rsid w:val="00B75547"/>
    <w:rsid w:val="00B94707"/>
    <w:rsid w:val="00BA4B8B"/>
    <w:rsid w:val="00BA6E8D"/>
    <w:rsid w:val="00BA72BD"/>
    <w:rsid w:val="00BB5176"/>
    <w:rsid w:val="00BC4A88"/>
    <w:rsid w:val="00BC5E77"/>
    <w:rsid w:val="00BE2DD0"/>
    <w:rsid w:val="00BE37D2"/>
    <w:rsid w:val="00BF0E75"/>
    <w:rsid w:val="00C02D7D"/>
    <w:rsid w:val="00C03373"/>
    <w:rsid w:val="00C07D52"/>
    <w:rsid w:val="00C137E0"/>
    <w:rsid w:val="00C14DB2"/>
    <w:rsid w:val="00C23ACD"/>
    <w:rsid w:val="00C24620"/>
    <w:rsid w:val="00C25242"/>
    <w:rsid w:val="00C35EE6"/>
    <w:rsid w:val="00C4563E"/>
    <w:rsid w:val="00C46C12"/>
    <w:rsid w:val="00C54954"/>
    <w:rsid w:val="00C6284A"/>
    <w:rsid w:val="00C6551E"/>
    <w:rsid w:val="00C72568"/>
    <w:rsid w:val="00C8184A"/>
    <w:rsid w:val="00C81CA9"/>
    <w:rsid w:val="00C8347D"/>
    <w:rsid w:val="00C87263"/>
    <w:rsid w:val="00C90F3A"/>
    <w:rsid w:val="00CA48BC"/>
    <w:rsid w:val="00CA67F2"/>
    <w:rsid w:val="00CB2814"/>
    <w:rsid w:val="00CB2D5D"/>
    <w:rsid w:val="00CB5CC5"/>
    <w:rsid w:val="00CB78A9"/>
    <w:rsid w:val="00CC4FB3"/>
    <w:rsid w:val="00CF0BB6"/>
    <w:rsid w:val="00CF4676"/>
    <w:rsid w:val="00D03BA0"/>
    <w:rsid w:val="00D044FC"/>
    <w:rsid w:val="00D223A1"/>
    <w:rsid w:val="00D234DB"/>
    <w:rsid w:val="00D24C71"/>
    <w:rsid w:val="00D26124"/>
    <w:rsid w:val="00D323F8"/>
    <w:rsid w:val="00D409ED"/>
    <w:rsid w:val="00D41568"/>
    <w:rsid w:val="00D6115E"/>
    <w:rsid w:val="00D64830"/>
    <w:rsid w:val="00D80C9D"/>
    <w:rsid w:val="00D81188"/>
    <w:rsid w:val="00D83DF5"/>
    <w:rsid w:val="00D85093"/>
    <w:rsid w:val="00D90E6D"/>
    <w:rsid w:val="00D97FF0"/>
    <w:rsid w:val="00DB3B20"/>
    <w:rsid w:val="00DB59CE"/>
    <w:rsid w:val="00DB648A"/>
    <w:rsid w:val="00DC174C"/>
    <w:rsid w:val="00DD242F"/>
    <w:rsid w:val="00DE0674"/>
    <w:rsid w:val="00DE46BE"/>
    <w:rsid w:val="00DF23B3"/>
    <w:rsid w:val="00DF3573"/>
    <w:rsid w:val="00DF3925"/>
    <w:rsid w:val="00DF6CA2"/>
    <w:rsid w:val="00E05688"/>
    <w:rsid w:val="00E05B3A"/>
    <w:rsid w:val="00E06DE9"/>
    <w:rsid w:val="00E10D96"/>
    <w:rsid w:val="00E15691"/>
    <w:rsid w:val="00E32280"/>
    <w:rsid w:val="00E3561D"/>
    <w:rsid w:val="00E36699"/>
    <w:rsid w:val="00E41C4A"/>
    <w:rsid w:val="00E555FC"/>
    <w:rsid w:val="00E64B64"/>
    <w:rsid w:val="00E64FE4"/>
    <w:rsid w:val="00E66FD7"/>
    <w:rsid w:val="00E67453"/>
    <w:rsid w:val="00E76046"/>
    <w:rsid w:val="00E7640C"/>
    <w:rsid w:val="00E92F0E"/>
    <w:rsid w:val="00E936FF"/>
    <w:rsid w:val="00E95D64"/>
    <w:rsid w:val="00EA0268"/>
    <w:rsid w:val="00EA10CC"/>
    <w:rsid w:val="00EA58F5"/>
    <w:rsid w:val="00EA7931"/>
    <w:rsid w:val="00EA7D12"/>
    <w:rsid w:val="00EB15C0"/>
    <w:rsid w:val="00EC1024"/>
    <w:rsid w:val="00EC125B"/>
    <w:rsid w:val="00EC795F"/>
    <w:rsid w:val="00EE37A9"/>
    <w:rsid w:val="00EE3CDA"/>
    <w:rsid w:val="00F04A9C"/>
    <w:rsid w:val="00F062B2"/>
    <w:rsid w:val="00F07147"/>
    <w:rsid w:val="00F2444B"/>
    <w:rsid w:val="00F27733"/>
    <w:rsid w:val="00F32AAB"/>
    <w:rsid w:val="00F34887"/>
    <w:rsid w:val="00F43289"/>
    <w:rsid w:val="00F54617"/>
    <w:rsid w:val="00F54D24"/>
    <w:rsid w:val="00F77234"/>
    <w:rsid w:val="00F807A6"/>
    <w:rsid w:val="00F82442"/>
    <w:rsid w:val="00F82E97"/>
    <w:rsid w:val="00F846CB"/>
    <w:rsid w:val="00F84981"/>
    <w:rsid w:val="00F8606E"/>
    <w:rsid w:val="00F91395"/>
    <w:rsid w:val="00F91AF3"/>
    <w:rsid w:val="00F91E80"/>
    <w:rsid w:val="00F92555"/>
    <w:rsid w:val="00F93E15"/>
    <w:rsid w:val="00F97F80"/>
    <w:rsid w:val="00FA14D5"/>
    <w:rsid w:val="00FC153A"/>
    <w:rsid w:val="00FC34E0"/>
    <w:rsid w:val="00FC37FB"/>
    <w:rsid w:val="00FC531F"/>
    <w:rsid w:val="00FD3D8C"/>
    <w:rsid w:val="00FD7462"/>
    <w:rsid w:val="00FF2D9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61C1"/>
    <w:pPr>
      <w:spacing w:after="240"/>
      <w:jc w:val="both"/>
    </w:pPr>
    <w:rPr>
      <w:sz w:val="24"/>
      <w:szCs w:val="24"/>
    </w:rPr>
  </w:style>
  <w:style w:type="paragraph" w:styleId="Titre1">
    <w:name w:val="heading 1"/>
    <w:basedOn w:val="Normal"/>
    <w:next w:val="Text1"/>
    <w:autoRedefine/>
    <w:qFormat/>
    <w:rsid w:val="00D323F8"/>
    <w:pPr>
      <w:keepNext/>
      <w:numPr>
        <w:numId w:val="27"/>
      </w:numPr>
      <w:tabs>
        <w:tab w:val="left" w:pos="0"/>
      </w:tabs>
      <w:spacing w:before="360" w:after="360"/>
      <w:outlineLvl w:val="0"/>
    </w:pPr>
    <w:rPr>
      <w:rFonts w:ascii="Times New Roman Bold" w:hAnsi="Times New Roman Bold"/>
      <w:b/>
      <w:caps/>
      <w:kern w:val="28"/>
    </w:rPr>
  </w:style>
  <w:style w:type="paragraph" w:styleId="Titre2">
    <w:name w:val="heading 2"/>
    <w:basedOn w:val="Normal"/>
    <w:next w:val="Normal"/>
    <w:autoRedefine/>
    <w:qFormat/>
    <w:rsid w:val="00B44852"/>
    <w:pPr>
      <w:keepNext/>
      <w:numPr>
        <w:ilvl w:val="1"/>
        <w:numId w:val="27"/>
      </w:numPr>
      <w:outlineLvl w:val="1"/>
    </w:pPr>
    <w:rPr>
      <w:b/>
    </w:rPr>
  </w:style>
  <w:style w:type="paragraph" w:styleId="Titre3">
    <w:name w:val="heading 3"/>
    <w:basedOn w:val="Normal"/>
    <w:next w:val="Normal"/>
    <w:autoRedefine/>
    <w:qFormat/>
    <w:rsid w:val="006A61C1"/>
    <w:pPr>
      <w:keepNext/>
      <w:numPr>
        <w:ilvl w:val="2"/>
        <w:numId w:val="27"/>
      </w:numPr>
      <w:outlineLvl w:val="2"/>
    </w:pPr>
  </w:style>
  <w:style w:type="paragraph" w:styleId="Titre4">
    <w:name w:val="heading 4"/>
    <w:basedOn w:val="Normal"/>
    <w:next w:val="Normal"/>
    <w:link w:val="Titre4Car"/>
    <w:semiHidden/>
    <w:unhideWhenUsed/>
    <w:qFormat/>
    <w:rsid w:val="004D08E3"/>
    <w:pPr>
      <w:keepNext/>
      <w:numPr>
        <w:ilvl w:val="3"/>
        <w:numId w:val="27"/>
      </w:numPr>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4D08E3"/>
    <w:pPr>
      <w:numPr>
        <w:ilvl w:val="4"/>
        <w:numId w:val="27"/>
      </w:numPr>
      <w:spacing w:before="240" w:after="60"/>
      <w:outlineLvl w:val="4"/>
    </w:pPr>
    <w:rPr>
      <w:rFonts w:ascii="Calibri" w:hAnsi="Calibri"/>
      <w:b/>
      <w:bCs/>
      <w:i/>
      <w:iCs/>
      <w:sz w:val="26"/>
      <w:szCs w:val="26"/>
    </w:rPr>
  </w:style>
  <w:style w:type="paragraph" w:styleId="Titre6">
    <w:name w:val="heading 6"/>
    <w:basedOn w:val="Normal"/>
    <w:next w:val="Normal"/>
    <w:link w:val="Titre6Car"/>
    <w:semiHidden/>
    <w:unhideWhenUsed/>
    <w:qFormat/>
    <w:rsid w:val="004D08E3"/>
    <w:pPr>
      <w:numPr>
        <w:ilvl w:val="5"/>
        <w:numId w:val="27"/>
      </w:numPr>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rsid w:val="004D08E3"/>
    <w:pPr>
      <w:numPr>
        <w:ilvl w:val="6"/>
        <w:numId w:val="27"/>
      </w:numPr>
      <w:spacing w:before="240" w:after="60"/>
      <w:outlineLvl w:val="6"/>
    </w:pPr>
    <w:rPr>
      <w:rFonts w:ascii="Calibri" w:hAnsi="Calibri"/>
    </w:rPr>
  </w:style>
  <w:style w:type="paragraph" w:styleId="Titre8">
    <w:name w:val="heading 8"/>
    <w:basedOn w:val="Normal"/>
    <w:next w:val="Normal"/>
    <w:link w:val="Titre8Car"/>
    <w:semiHidden/>
    <w:unhideWhenUsed/>
    <w:qFormat/>
    <w:rsid w:val="004D08E3"/>
    <w:pPr>
      <w:numPr>
        <w:ilvl w:val="7"/>
        <w:numId w:val="27"/>
      </w:numPr>
      <w:spacing w:before="240" w:after="60"/>
      <w:outlineLvl w:val="7"/>
    </w:pPr>
    <w:rPr>
      <w:rFonts w:ascii="Calibri" w:hAnsi="Calibri"/>
      <w:i/>
      <w:iCs/>
    </w:rPr>
  </w:style>
  <w:style w:type="paragraph" w:styleId="Titre9">
    <w:name w:val="heading 9"/>
    <w:basedOn w:val="Normal"/>
    <w:next w:val="Normal"/>
    <w:link w:val="Titre9Car"/>
    <w:semiHidden/>
    <w:unhideWhenUsed/>
    <w:qFormat/>
    <w:rsid w:val="004D08E3"/>
    <w:pPr>
      <w:numPr>
        <w:ilvl w:val="8"/>
        <w:numId w:val="27"/>
      </w:num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1">
    <w:name w:val="Text 1"/>
    <w:basedOn w:val="Normal"/>
    <w:rsid w:val="00A15879"/>
    <w:pPr>
      <w:ind w:left="482"/>
    </w:pPr>
    <w:rPr>
      <w:rFonts w:ascii="Arial" w:hAnsi="Arial"/>
      <w:sz w:val="20"/>
      <w:szCs w:val="20"/>
    </w:rPr>
  </w:style>
  <w:style w:type="paragraph" w:customStyle="1" w:styleId="Text3">
    <w:name w:val="Text 3"/>
    <w:basedOn w:val="Normal"/>
    <w:rsid w:val="00A15879"/>
    <w:pPr>
      <w:tabs>
        <w:tab w:val="left" w:pos="2302"/>
      </w:tabs>
      <w:ind w:left="1202"/>
    </w:pPr>
    <w:rPr>
      <w:rFonts w:ascii="Arial" w:hAnsi="Arial"/>
      <w:sz w:val="20"/>
      <w:szCs w:val="20"/>
    </w:rPr>
  </w:style>
  <w:style w:type="paragraph" w:styleId="Pieddepage">
    <w:name w:val="footer"/>
    <w:basedOn w:val="Normal"/>
    <w:rsid w:val="00A15879"/>
    <w:pPr>
      <w:ind w:right="-567"/>
    </w:pPr>
    <w:rPr>
      <w:rFonts w:ascii="Arial" w:hAnsi="Arial"/>
      <w:sz w:val="16"/>
      <w:szCs w:val="20"/>
    </w:rPr>
  </w:style>
  <w:style w:type="paragraph" w:styleId="Notedebasdepage">
    <w:name w:val="footnote text"/>
    <w:basedOn w:val="Normal"/>
    <w:semiHidden/>
    <w:rsid w:val="00A15879"/>
    <w:pPr>
      <w:ind w:left="357" w:hanging="357"/>
    </w:pPr>
    <w:rPr>
      <w:rFonts w:ascii="Arial" w:hAnsi="Arial"/>
      <w:sz w:val="20"/>
      <w:szCs w:val="20"/>
    </w:rPr>
  </w:style>
  <w:style w:type="paragraph" w:styleId="En-tte">
    <w:name w:val="header"/>
    <w:basedOn w:val="Normal"/>
    <w:link w:val="En-tteCar"/>
    <w:uiPriority w:val="99"/>
    <w:rsid w:val="00A15879"/>
    <w:pPr>
      <w:tabs>
        <w:tab w:val="center" w:pos="4153"/>
        <w:tab w:val="right" w:pos="8306"/>
      </w:tabs>
    </w:pPr>
    <w:rPr>
      <w:rFonts w:ascii="Arial" w:hAnsi="Arial"/>
      <w:sz w:val="20"/>
      <w:szCs w:val="20"/>
    </w:rPr>
  </w:style>
  <w:style w:type="paragraph" w:styleId="Listepuces">
    <w:name w:val="List Bullet"/>
    <w:basedOn w:val="Normal"/>
    <w:rsid w:val="00A15879"/>
    <w:pPr>
      <w:numPr>
        <w:numId w:val="1"/>
      </w:numPr>
    </w:pPr>
    <w:rPr>
      <w:szCs w:val="20"/>
      <w:lang w:eastAsia="en-US"/>
    </w:rPr>
  </w:style>
  <w:style w:type="character" w:styleId="Appelnotedebasdep">
    <w:name w:val="footnote reference"/>
    <w:semiHidden/>
    <w:rsid w:val="00A15879"/>
    <w:rPr>
      <w:rFonts w:ascii="TimesNewRomanPS" w:hAnsi="TimesNewRomanPS"/>
      <w:position w:val="6"/>
      <w:sz w:val="16"/>
    </w:rPr>
  </w:style>
  <w:style w:type="character" w:styleId="Numrodepage">
    <w:name w:val="page number"/>
    <w:basedOn w:val="Policepardfaut"/>
    <w:rsid w:val="00A15879"/>
  </w:style>
  <w:style w:type="character" w:styleId="Lienhypertexte">
    <w:name w:val="Hyperlink"/>
    <w:rsid w:val="00A15879"/>
    <w:rPr>
      <w:color w:val="0000FF"/>
      <w:u w:val="single"/>
    </w:rPr>
  </w:style>
  <w:style w:type="paragraph" w:customStyle="1" w:styleId="ListDash">
    <w:name w:val="List Dash"/>
    <w:basedOn w:val="Normal"/>
    <w:rsid w:val="00A15879"/>
    <w:pPr>
      <w:numPr>
        <w:numId w:val="2"/>
      </w:numPr>
    </w:pPr>
    <w:rPr>
      <w:szCs w:val="20"/>
      <w:lang w:eastAsia="en-US"/>
    </w:rPr>
  </w:style>
  <w:style w:type="paragraph" w:customStyle="1" w:styleId="Char">
    <w:name w:val="Char"/>
    <w:basedOn w:val="Normal"/>
    <w:next w:val="Normal"/>
    <w:rsid w:val="00A15879"/>
    <w:pPr>
      <w:spacing w:after="160" w:line="240" w:lineRule="exact"/>
    </w:pPr>
    <w:rPr>
      <w:rFonts w:ascii="Tahoma" w:eastAsia="SimSun" w:hAnsi="Tahoma"/>
      <w:szCs w:val="20"/>
      <w:lang w:val="en-US" w:eastAsia="en-US"/>
    </w:rPr>
  </w:style>
  <w:style w:type="table" w:styleId="Grilledutableau">
    <w:name w:val="Table Grid"/>
    <w:basedOn w:val="TableauNormal"/>
    <w:rsid w:val="00A15879"/>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2">
    <w:name w:val="Text 2"/>
    <w:basedOn w:val="Normal"/>
    <w:rsid w:val="00E3561D"/>
    <w:pPr>
      <w:spacing w:before="120" w:after="120"/>
      <w:ind w:left="850"/>
    </w:pPr>
    <w:rPr>
      <w:lang w:eastAsia="en-US"/>
    </w:rPr>
  </w:style>
  <w:style w:type="character" w:styleId="Marquedecommentaire">
    <w:name w:val="annotation reference"/>
    <w:rsid w:val="002C3EC3"/>
    <w:rPr>
      <w:sz w:val="16"/>
      <w:szCs w:val="16"/>
    </w:rPr>
  </w:style>
  <w:style w:type="paragraph" w:styleId="Commentaire">
    <w:name w:val="annotation text"/>
    <w:basedOn w:val="Normal"/>
    <w:link w:val="CommentaireCar"/>
    <w:rsid w:val="002C3EC3"/>
    <w:rPr>
      <w:sz w:val="20"/>
      <w:szCs w:val="20"/>
    </w:rPr>
  </w:style>
  <w:style w:type="character" w:customStyle="1" w:styleId="CommentaireCar">
    <w:name w:val="Commentaire Car"/>
    <w:basedOn w:val="Policepardfaut"/>
    <w:link w:val="Commentaire"/>
    <w:rsid w:val="002C3EC3"/>
  </w:style>
  <w:style w:type="paragraph" w:styleId="Objetducommentaire">
    <w:name w:val="annotation subject"/>
    <w:basedOn w:val="Commentaire"/>
    <w:next w:val="Commentaire"/>
    <w:link w:val="ObjetducommentaireCar"/>
    <w:rsid w:val="002C3EC3"/>
    <w:rPr>
      <w:b/>
      <w:bCs/>
    </w:rPr>
  </w:style>
  <w:style w:type="character" w:customStyle="1" w:styleId="ObjetducommentaireCar">
    <w:name w:val="Objet du commentaire Car"/>
    <w:link w:val="Objetducommentaire"/>
    <w:rsid w:val="002C3EC3"/>
    <w:rPr>
      <w:b/>
      <w:bCs/>
    </w:rPr>
  </w:style>
  <w:style w:type="paragraph" w:styleId="Textedebulles">
    <w:name w:val="Balloon Text"/>
    <w:basedOn w:val="Normal"/>
    <w:link w:val="TextedebullesCar"/>
    <w:rsid w:val="002C3EC3"/>
    <w:rPr>
      <w:rFonts w:ascii="Tahoma" w:hAnsi="Tahoma"/>
      <w:sz w:val="16"/>
      <w:szCs w:val="16"/>
    </w:rPr>
  </w:style>
  <w:style w:type="character" w:customStyle="1" w:styleId="TextedebullesCar">
    <w:name w:val="Texte de bulles Car"/>
    <w:link w:val="Textedebulles"/>
    <w:rsid w:val="002C3EC3"/>
    <w:rPr>
      <w:rFonts w:ascii="Tahoma" w:hAnsi="Tahoma" w:cs="Tahoma"/>
      <w:sz w:val="16"/>
      <w:szCs w:val="16"/>
    </w:rPr>
  </w:style>
  <w:style w:type="paragraph" w:styleId="Explorateurdedocuments">
    <w:name w:val="Document Map"/>
    <w:basedOn w:val="Normal"/>
    <w:semiHidden/>
    <w:rsid w:val="00372227"/>
    <w:pPr>
      <w:shd w:val="clear" w:color="auto" w:fill="000080"/>
    </w:pPr>
    <w:rPr>
      <w:rFonts w:ascii="Tahoma" w:hAnsi="Tahoma" w:cs="Tahoma"/>
      <w:sz w:val="20"/>
      <w:szCs w:val="20"/>
    </w:rPr>
  </w:style>
  <w:style w:type="table" w:styleId="Tableauliste3">
    <w:name w:val="Table List 3"/>
    <w:basedOn w:val="TableauNormal"/>
    <w:rsid w:val="00F32AA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Grid1">
    <w:name w:val="Table Grid1"/>
    <w:basedOn w:val="TableauNormal"/>
    <w:next w:val="Grilledutableau"/>
    <w:uiPriority w:val="59"/>
    <w:rsid w:val="00C54954"/>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auNormal"/>
    <w:next w:val="Grilledutableau"/>
    <w:uiPriority w:val="59"/>
    <w:rsid w:val="00C54954"/>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4Car">
    <w:name w:val="Titre 4 Car"/>
    <w:link w:val="Titre4"/>
    <w:semiHidden/>
    <w:rsid w:val="004D08E3"/>
    <w:rPr>
      <w:rFonts w:ascii="Calibri" w:eastAsia="Times New Roman" w:hAnsi="Calibri" w:cs="Times New Roman"/>
      <w:b/>
      <w:bCs/>
      <w:sz w:val="28"/>
      <w:szCs w:val="28"/>
    </w:rPr>
  </w:style>
  <w:style w:type="character" w:customStyle="1" w:styleId="Titre5Car">
    <w:name w:val="Titre 5 Car"/>
    <w:link w:val="Titre5"/>
    <w:semiHidden/>
    <w:rsid w:val="004D08E3"/>
    <w:rPr>
      <w:rFonts w:ascii="Calibri" w:eastAsia="Times New Roman" w:hAnsi="Calibri" w:cs="Times New Roman"/>
      <w:b/>
      <w:bCs/>
      <w:i/>
      <w:iCs/>
      <w:sz w:val="26"/>
      <w:szCs w:val="26"/>
    </w:rPr>
  </w:style>
  <w:style w:type="character" w:customStyle="1" w:styleId="Titre6Car">
    <w:name w:val="Titre 6 Car"/>
    <w:link w:val="Titre6"/>
    <w:semiHidden/>
    <w:rsid w:val="004D08E3"/>
    <w:rPr>
      <w:rFonts w:ascii="Calibri" w:eastAsia="Times New Roman" w:hAnsi="Calibri" w:cs="Times New Roman"/>
      <w:b/>
      <w:bCs/>
      <w:sz w:val="22"/>
      <w:szCs w:val="22"/>
    </w:rPr>
  </w:style>
  <w:style w:type="character" w:customStyle="1" w:styleId="Titre7Car">
    <w:name w:val="Titre 7 Car"/>
    <w:link w:val="Titre7"/>
    <w:semiHidden/>
    <w:rsid w:val="004D08E3"/>
    <w:rPr>
      <w:rFonts w:ascii="Calibri" w:eastAsia="Times New Roman" w:hAnsi="Calibri" w:cs="Times New Roman"/>
      <w:sz w:val="24"/>
      <w:szCs w:val="24"/>
    </w:rPr>
  </w:style>
  <w:style w:type="character" w:customStyle="1" w:styleId="Titre8Car">
    <w:name w:val="Titre 8 Car"/>
    <w:link w:val="Titre8"/>
    <w:semiHidden/>
    <w:rsid w:val="004D08E3"/>
    <w:rPr>
      <w:rFonts w:ascii="Calibri" w:eastAsia="Times New Roman" w:hAnsi="Calibri" w:cs="Times New Roman"/>
      <w:i/>
      <w:iCs/>
      <w:sz w:val="24"/>
      <w:szCs w:val="24"/>
    </w:rPr>
  </w:style>
  <w:style w:type="character" w:customStyle="1" w:styleId="Titre9Car">
    <w:name w:val="Titre 9 Car"/>
    <w:link w:val="Titre9"/>
    <w:semiHidden/>
    <w:rsid w:val="004D08E3"/>
    <w:rPr>
      <w:rFonts w:ascii="Cambria" w:eastAsia="Times New Roman" w:hAnsi="Cambria" w:cs="Times New Roman"/>
      <w:sz w:val="22"/>
      <w:szCs w:val="22"/>
    </w:rPr>
  </w:style>
  <w:style w:type="paragraph" w:styleId="Paragraphedeliste">
    <w:name w:val="List Paragraph"/>
    <w:basedOn w:val="Normal"/>
    <w:uiPriority w:val="34"/>
    <w:qFormat/>
    <w:rsid w:val="000F4A6A"/>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0F4A6A"/>
    <w:pPr>
      <w:autoSpaceDE w:val="0"/>
      <w:autoSpaceDN w:val="0"/>
      <w:adjustRightInd w:val="0"/>
    </w:pPr>
    <w:rPr>
      <w:rFonts w:ascii="Calibri" w:eastAsia="Calibri" w:hAnsi="Calibri" w:cs="Calibri"/>
      <w:color w:val="000000"/>
      <w:sz w:val="24"/>
      <w:szCs w:val="24"/>
      <w:lang w:eastAsia="en-US"/>
    </w:rPr>
  </w:style>
  <w:style w:type="paragraph" w:styleId="Notedefin">
    <w:name w:val="endnote text"/>
    <w:basedOn w:val="Normal"/>
    <w:link w:val="NotedefinCar"/>
    <w:uiPriority w:val="99"/>
    <w:unhideWhenUsed/>
    <w:rsid w:val="000F4A6A"/>
    <w:pPr>
      <w:spacing w:after="0"/>
    </w:pPr>
    <w:rPr>
      <w:rFonts w:ascii="Calibri" w:eastAsia="Calibri" w:hAnsi="Calibri"/>
      <w:sz w:val="20"/>
      <w:szCs w:val="20"/>
      <w:lang w:eastAsia="en-US"/>
    </w:rPr>
  </w:style>
  <w:style w:type="character" w:customStyle="1" w:styleId="NotedefinCar">
    <w:name w:val="Note de fin Car"/>
    <w:link w:val="Notedefin"/>
    <w:uiPriority w:val="99"/>
    <w:rsid w:val="000F4A6A"/>
    <w:rPr>
      <w:rFonts w:ascii="Calibri" w:eastAsia="Calibri" w:hAnsi="Calibri" w:cs="Times New Roman"/>
      <w:lang w:eastAsia="en-US"/>
    </w:rPr>
  </w:style>
  <w:style w:type="character" w:styleId="Appeldenotedefin">
    <w:name w:val="endnote reference"/>
    <w:uiPriority w:val="99"/>
    <w:unhideWhenUsed/>
    <w:rsid w:val="000F4A6A"/>
    <w:rPr>
      <w:vertAlign w:val="superscript"/>
    </w:rPr>
  </w:style>
  <w:style w:type="paragraph" w:styleId="Rvision">
    <w:name w:val="Revision"/>
    <w:hidden/>
    <w:uiPriority w:val="99"/>
    <w:semiHidden/>
    <w:rsid w:val="003130B4"/>
    <w:rPr>
      <w:sz w:val="24"/>
      <w:szCs w:val="24"/>
    </w:rPr>
  </w:style>
  <w:style w:type="character" w:customStyle="1" w:styleId="En-tteCar">
    <w:name w:val="En-tête Car"/>
    <w:basedOn w:val="Policepardfaut"/>
    <w:link w:val="En-tte"/>
    <w:uiPriority w:val="99"/>
    <w:rsid w:val="00CF4676"/>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4890504">
      <w:bodyDiv w:val="1"/>
      <w:marLeft w:val="0"/>
      <w:marRight w:val="0"/>
      <w:marTop w:val="0"/>
      <w:marBottom w:val="0"/>
      <w:divBdr>
        <w:top w:val="none" w:sz="0" w:space="0" w:color="auto"/>
        <w:left w:val="none" w:sz="0" w:space="0" w:color="auto"/>
        <w:bottom w:val="none" w:sz="0" w:space="0" w:color="auto"/>
        <w:right w:val="none" w:sz="0" w:space="0" w:color="auto"/>
      </w:divBdr>
    </w:div>
    <w:div w:id="514001097">
      <w:bodyDiv w:val="1"/>
      <w:marLeft w:val="0"/>
      <w:marRight w:val="0"/>
      <w:marTop w:val="0"/>
      <w:marBottom w:val="0"/>
      <w:divBdr>
        <w:top w:val="none" w:sz="0" w:space="0" w:color="auto"/>
        <w:left w:val="none" w:sz="0" w:space="0" w:color="auto"/>
        <w:bottom w:val="none" w:sz="0" w:space="0" w:color="auto"/>
        <w:right w:val="none" w:sz="0" w:space="0" w:color="auto"/>
      </w:divBdr>
    </w:div>
    <w:div w:id="670329189">
      <w:bodyDiv w:val="1"/>
      <w:marLeft w:val="0"/>
      <w:marRight w:val="0"/>
      <w:marTop w:val="0"/>
      <w:marBottom w:val="0"/>
      <w:divBdr>
        <w:top w:val="none" w:sz="0" w:space="0" w:color="auto"/>
        <w:left w:val="none" w:sz="0" w:space="0" w:color="auto"/>
        <w:bottom w:val="none" w:sz="0" w:space="0" w:color="auto"/>
        <w:right w:val="none" w:sz="0" w:space="0" w:color="auto"/>
      </w:divBdr>
    </w:div>
    <w:div w:id="833885811">
      <w:bodyDiv w:val="1"/>
      <w:marLeft w:val="0"/>
      <w:marRight w:val="0"/>
      <w:marTop w:val="0"/>
      <w:marBottom w:val="0"/>
      <w:divBdr>
        <w:top w:val="none" w:sz="0" w:space="0" w:color="auto"/>
        <w:left w:val="none" w:sz="0" w:space="0" w:color="auto"/>
        <w:bottom w:val="none" w:sz="0" w:space="0" w:color="auto"/>
        <w:right w:val="none" w:sz="0" w:space="0" w:color="auto"/>
      </w:divBdr>
      <w:divsChild>
        <w:div w:id="604381404">
          <w:marLeft w:val="0"/>
          <w:marRight w:val="0"/>
          <w:marTop w:val="0"/>
          <w:marBottom w:val="0"/>
          <w:divBdr>
            <w:top w:val="none" w:sz="0" w:space="0" w:color="auto"/>
            <w:left w:val="none" w:sz="0" w:space="0" w:color="auto"/>
            <w:bottom w:val="none" w:sz="0" w:space="0" w:color="auto"/>
            <w:right w:val="none" w:sz="0" w:space="0" w:color="auto"/>
          </w:divBdr>
          <w:divsChild>
            <w:div w:id="853569501">
              <w:marLeft w:val="0"/>
              <w:marRight w:val="0"/>
              <w:marTop w:val="225"/>
              <w:marBottom w:val="0"/>
              <w:divBdr>
                <w:top w:val="none" w:sz="0" w:space="0" w:color="auto"/>
                <w:left w:val="none" w:sz="0" w:space="0" w:color="auto"/>
                <w:bottom w:val="none" w:sz="0" w:space="0" w:color="auto"/>
                <w:right w:val="none" w:sz="0" w:space="0" w:color="auto"/>
              </w:divBdr>
              <w:divsChild>
                <w:div w:id="21640013">
                  <w:marLeft w:val="0"/>
                  <w:marRight w:val="0"/>
                  <w:marTop w:val="0"/>
                  <w:marBottom w:val="0"/>
                  <w:divBdr>
                    <w:top w:val="none" w:sz="0" w:space="0" w:color="auto"/>
                    <w:left w:val="dotted" w:sz="6" w:space="11" w:color="D5D3D4"/>
                    <w:bottom w:val="none" w:sz="0" w:space="0" w:color="auto"/>
                    <w:right w:val="dotted" w:sz="6" w:space="11" w:color="D5D3D4"/>
                  </w:divBdr>
                </w:div>
              </w:divsChild>
            </w:div>
          </w:divsChild>
        </w:div>
      </w:divsChild>
    </w:div>
    <w:div w:id="1294870255">
      <w:bodyDiv w:val="1"/>
      <w:marLeft w:val="0"/>
      <w:marRight w:val="0"/>
      <w:marTop w:val="0"/>
      <w:marBottom w:val="0"/>
      <w:divBdr>
        <w:top w:val="none" w:sz="0" w:space="0" w:color="auto"/>
        <w:left w:val="none" w:sz="0" w:space="0" w:color="auto"/>
        <w:bottom w:val="none" w:sz="0" w:space="0" w:color="auto"/>
        <w:right w:val="none" w:sz="0" w:space="0" w:color="auto"/>
      </w:divBdr>
    </w:div>
    <w:div w:id="1619677416">
      <w:bodyDiv w:val="1"/>
      <w:marLeft w:val="0"/>
      <w:marRight w:val="0"/>
      <w:marTop w:val="0"/>
      <w:marBottom w:val="0"/>
      <w:divBdr>
        <w:top w:val="none" w:sz="0" w:space="0" w:color="auto"/>
        <w:left w:val="none" w:sz="0" w:space="0" w:color="auto"/>
        <w:bottom w:val="none" w:sz="0" w:space="0" w:color="auto"/>
        <w:right w:val="none" w:sz="0" w:space="0" w:color="auto"/>
      </w:divBdr>
    </w:div>
    <w:div w:id="179733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apacity4dev.ec.europa.eu/topic/fighting-hunger-food-security-nutrition" TargetMode="External"/><Relationship Id="rId4" Type="http://schemas.openxmlformats.org/officeDocument/2006/relationships/settings" Target="settings.xml"/><Relationship Id="rId9" Type="http://schemas.openxmlformats.org/officeDocument/2006/relationships/hyperlink" Target="mailto:Herve.BUSSCHAERT@ec.europa.eu"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mailto:DEVCO-NUTRITION-SUPPORT@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8B84B-AE1E-48EE-9B7C-7886080F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1412</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SPECIFIC TERMS OF REFERENCE</vt:lpstr>
    </vt:vector>
  </TitlesOfParts>
  <Company>European Commission</Company>
  <LinksUpToDate>false</LinksUpToDate>
  <CharactersWithSpaces>9161</CharactersWithSpaces>
  <SharedDoc>false</SharedDoc>
  <HLinks>
    <vt:vector size="12" baseType="variant">
      <vt:variant>
        <vt:i4>4915232</vt:i4>
      </vt:variant>
      <vt:variant>
        <vt:i4>0</vt:i4>
      </vt:variant>
      <vt:variant>
        <vt:i4>0</vt:i4>
      </vt:variant>
      <vt:variant>
        <vt:i4>5</vt:i4>
      </vt:variant>
      <vt:variant>
        <vt:lpwstr>mailto:ASiST@ec.europa.eu</vt:lpwstr>
      </vt:variant>
      <vt:variant>
        <vt:lpwstr/>
      </vt:variant>
      <vt:variant>
        <vt:i4>2490445</vt:i4>
      </vt:variant>
      <vt:variant>
        <vt:i4>0</vt:i4>
      </vt:variant>
      <vt:variant>
        <vt:i4>0</vt:i4>
      </vt:variant>
      <vt:variant>
        <vt:i4>5</vt:i4>
      </vt:variant>
      <vt:variant>
        <vt:lpwstr>mailto:DEVCO-NUTRITION-SUPPORT@ec.europa.eu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 TERMS OF REFERENCE</dc:title>
  <dc:creator>aidco-sd-tech2</dc:creator>
  <cp:lastModifiedBy>albyflores_v</cp:lastModifiedBy>
  <cp:revision>2</cp:revision>
  <cp:lastPrinted>2011-10-26T10:20:00Z</cp:lastPrinted>
  <dcterms:created xsi:type="dcterms:W3CDTF">2012-07-09T10:00:00Z</dcterms:created>
  <dcterms:modified xsi:type="dcterms:W3CDTF">2012-07-09T10:00:00Z</dcterms:modified>
</cp:coreProperties>
</file>